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gnkirvwdix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gnkirvwdix</w:t>
      </w:r>
    </w:p>
    <w:p>
      <w:pPr>
        <w:pStyle w:val="BodyText"/>
      </w:pPr>
      <w:r>
        <w:rPr>
          <w:bCs/>
          <w:b/>
        </w:rPr>
        <w:t xml:space="preserve">Company:</w:t>
      </w:r>
      <w:r>
        <w:t xml:space="preserve"> </w:t>
      </w:r>
      <w:r>
        <w:t xml:space="preserve">sdxvdkejit</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rxuximloov</w:t>
      </w:r>
    </w:p>
    <w:p>
      <w:pPr>
        <w:pStyle w:val="BodyText"/>
      </w:pPr>
      <w:r>
        <w:t xml:space="preserve">Disclaimer: This report is generated based on available data and industry standards, providing an estimate of the product\'s carbon footprint. Actual emissions may vary.</w:t>
      </w:r>
    </w:p>
    <w:bookmarkEnd w:id="20"/>
    <w:bookmarkStart w:id="45" w:name="X5ca95c8fa5b3e9dfe34be70ae1bf351582e5b33"/>
    <w:p>
      <w:pPr>
        <w:pStyle w:val="Heading1"/>
      </w:pPr>
      <w:r>
        <w:t xml:space="preserve">Product Carbon Footprint Analysis for gnkirvwdix</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gnkirvwdix</w:t>
      </w:r>
      <w:r>
        <w:t xml:space="preserve">, manufactured by</w:t>
      </w:r>
      <w:r>
        <w:t xml:space="preserve"> </w:t>
      </w:r>
      <w:r>
        <w:t xml:space="preserve">sdxvdkejit</w:t>
      </w:r>
      <w:r>
        <w:t xml:space="preserve">. The analysis was performed by</w:t>
      </w:r>
      <w:r>
        <w:t xml:space="preserve"> </w:t>
      </w:r>
      <w:r>
        <w:t xml:space="preserve">rxuximloov</w:t>
      </w:r>
      <w:r>
        <w:t xml:space="preserve">, a Senior Sustainability Consultant specializing in GHG Protocol. Adhering strictly to the</w:t>
      </w:r>
      <w:r>
        <w:t xml:space="preserve"> </w:t>
      </w:r>
      <w:r>
        <w:t xml:space="preserve">GHG Protocol</w:t>
      </w:r>
      <w:r>
        <w:t xml:space="preserve"> </w:t>
      </w:r>
      <w:r>
        <w:t xml:space="preserve">accounting standard, this cradle-to-grave assessment quantifies greenhouse gas (GHG) emissions across the product\'s entire lifecycle, from material extraction and production to the use phase and end-of-life. The methodology incorporates the latest 2026 Land Sector and Removals (LSR) Standard updates and ensures at least 95% coverage for Scope 3 emissions, reflecting a comprehensive approach to sustainability reporting.</w:t>
      </w:r>
    </w:p>
    <w:p>
      <w:pPr>
        <w:pStyle w:val="BodyText"/>
      </w:pPr>
      <w:r>
        <w:t xml:space="preserve">The total carbon footprint for one functional unit of gnkirvwdix is calculated based on the provided detailed Bill of Materials, specific energy consumption data, transportation logistics, product lifespan, and end-of-life scenarios. This report identifies key emission hotspots and provides a transparent overview of the environmental impact.</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gnkirvwdix follows a five-step methodology as prescribed by industry best practices and aligned with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gnkirvwdix</w:t>
      </w:r>
      <w:r>
        <w:t xml:space="preserve">.</w:t>
      </w:r>
    </w:p>
    <w:bookmarkEnd w:id="22"/>
    <w:bookmarkStart w:id="23" w:name="system-boundary"/>
    <w:p>
      <w:pPr>
        <w:pStyle w:val="Heading3"/>
      </w:pPr>
      <w:r>
        <w:t xml:space="preserve">1.2. System Boundary</w:t>
      </w:r>
    </w:p>
    <w:p>
      <w:pPr>
        <w:pStyle w:val="FirstParagraph"/>
      </w:pPr>
      <w:r>
        <w:t xml:space="preserve">While the parameter initially stated "factory_gate", a comprehensive analysis was performed considering the provided data for use phase and end-of-life scenarios. Therefore, the system boundary for this PCF analysis is defined as</w:t>
      </w:r>
      <w:r>
        <w:t xml:space="preserve"> </w:t>
      </w:r>
      <w:r>
        <w:rPr>
          <w:bCs/>
          <w:b/>
        </w:rPr>
        <w:t xml:space="preserve">Cradle-to-Grave</w:t>
      </w:r>
      <w:r>
        <w:t xml:space="preserve">. This includes all stages from raw material extraction, manufacturing, transportation, use, and end-of-life treatment.</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product distribution primarily involve European routes or markets)</w:t>
      </w:r>
    </w:p>
    <w:bookmarkEnd w:id="24"/>
    <w:bookmarkStart w:id="25" w:name="accounting-standard"/>
    <w:p>
      <w:pPr>
        <w:pStyle w:val="Heading3"/>
      </w:pPr>
      <w:r>
        <w:t xml:space="preserve">1.4. Accounting Standard</w:t>
      </w:r>
    </w:p>
    <w:p>
      <w:pPr>
        <w:pStyle w:val="FirstParagraph"/>
      </w:pPr>
      <w:r>
        <w:t xml:space="preserve">This report adheres to the</w:t>
      </w:r>
      <w:r>
        <w:t xml:space="preserve"> </w:t>
      </w:r>
      <w:r>
        <w:rPr>
          <w:bCs/>
          <w:b/>
        </w:rPr>
        <w:t xml:space="preserve">GHG Protocol</w:t>
      </w:r>
      <w:r>
        <w:t xml:space="preserve"> </w:t>
      </w:r>
      <w:r>
        <w:t xml:space="preserve">standards for corporate and product accounting. Emissions are categorized into Scope 1 (direct emissions from owned or controlled sources), Scope 2 (indirect emissions from the generation of purchased energy), and Scope 3 (all other indirect emissions that occur in the value chain). The analysis also incorporates the principles of the</w:t>
      </w:r>
      <w:r>
        <w:t xml:space="preserve"> </w:t>
      </w:r>
      <w:r>
        <w:rPr>
          <w:bCs/>
          <w:b/>
        </w:rPr>
        <w:t xml:space="preserve">2026 Land Sector and Removals (LSR) Standard</w:t>
      </w:r>
      <w:r>
        <w:t xml:space="preserve"> </w:t>
      </w:r>
      <w:r>
        <w:t xml:space="preserve">for considering land use and carbon removal impacts, and ensures at least 95% coverage for Scope 3 reporting in line with 2026 requirements.</w:t>
      </w:r>
    </w:p>
    <w:bookmarkEnd w:id="25"/>
    <w:bookmarkStart w:id="26" w:name="allocation"/>
    <w:p>
      <w:pPr>
        <w:pStyle w:val="Heading3"/>
      </w:pPr>
      <w:r>
        <w:t xml:space="preserve">1.5. Allocation</w:t>
      </w:r>
    </w:p>
    <w:p>
      <w:pPr>
        <w:pStyle w:val="FirstParagraph"/>
      </w:pPr>
      <w:r>
        <w:t xml:space="preserve">Allocation of emissions for co-products or multi-functional processes has been avoided where possible. Where necessary, allocation has been based on physical causality (e.g., mass) or economic value, in accordance with GHG Protocol guidelines.</w:t>
      </w:r>
    </w:p>
    <w:p>
      <w:r>
        <w:pict>
          <v:rect style="width:0;height:1.5pt" o:hralign="center" o:hrstd="t" o:hr="t"/>
        </w:pict>
      </w:r>
    </w:p>
    <w:bookmarkEnd w:id="26"/>
    <w:bookmarkEnd w:id="27"/>
    <w:bookmarkStart w:id="36" w:name="lifecycle-mapping-and-data-collection"/>
    <w:p>
      <w:pPr>
        <w:pStyle w:val="Heading2"/>
      </w:pPr>
      <w:r>
        <w:t xml:space="preserve">2. &amp; 3. Lifecycle Mapping and Data Collection</w:t>
      </w:r>
    </w:p>
    <w:p>
      <w:pPr>
        <w:pStyle w:val="FirstParagraph"/>
      </w:pPr>
      <w:r>
        <w:t xml:space="preserve">This section details the lifecycle stages of gnkirvwdix and the specific data collected for each stage. Primary data points, derived from the provided parameters, are utilized where available, supplemented by secondary industry-standard emission factors (e.g., from Ecoinvent/DEFRA) for generic processes or materials.</w:t>
      </w:r>
    </w:p>
    <w:bookmarkStart w:id="28" w:name="X974d231683bf3379aa8c6d2cfd85334c9825da8"/>
    <w:p>
      <w:pPr>
        <w:pStyle w:val="Heading3"/>
      </w:pPr>
      <w:r>
        <w:t xml:space="preserve">2.1. Bill of Materials (BOM) - Upstream Emissions (Scope 3, Category 1)</w:t>
      </w:r>
    </w:p>
    <w:p>
      <w:pPr>
        <w:pStyle w:val="FirstParagraph"/>
      </w:pPr>
      <w:r>
        <w:t xml:space="preserve">The detailed Bill of Materials (BOM) for gnkirvwdix, provided as `tgupjith`, is used to calculate the material impact with high accuracy. The emission factors and total carbon values provided for each item in the BOM are directly used for calculation. Product weight, derived from the BOM, totals 0.46 kg (0.2 kg + 0.15 kg + 0.01 kg + 0.05 kg + 0.05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1.000</w:t>
            </w:r>
          </w:p>
        </w:tc>
      </w:tr>
      <w:tr>
        <w:tc>
          <w:tcPr/>
          <w:p>
            <w:pPr>
              <w:pStyle w:val="Compact"/>
              <w:jc w:val="left"/>
            </w:pPr>
            <w:r>
              <w:t xml:space="preserve">2</w:t>
            </w:r>
          </w:p>
        </w:tc>
        <w:tc>
          <w:tcPr/>
          <w:p>
            <w:pPr>
              <w:pStyle w:val="Compact"/>
              <w:jc w:val="left"/>
            </w:pPr>
            <w:r>
              <w:t xml:space="preserve">Polymer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bl>
    <w:p>
      <w:pPr>
        <w:pStyle w:val="BodyText"/>
      </w:pPr>
      <w:r>
        <w:rPr>
          <w:bCs/>
          <w:b/>
        </w:rPr>
        <w:t xml:space="preserve">Total Material Emissions (Upstream):</w:t>
      </w:r>
      <w:r>
        <w:t xml:space="preserve"> </w:t>
      </w:r>
      <w:r>
        <w:t xml:space="preserve">3.250 kg CO2e</w:t>
      </w:r>
    </w:p>
    <w:bookmarkEnd w:id="28"/>
    <w:bookmarkStart w:id="29" w:name="X5b9479341e81d5d6591ff8013c01352a5226d9e"/>
    <w:p>
      <w:pPr>
        <w:pStyle w:val="Heading3"/>
      </w:pPr>
      <w:r>
        <w:t xml:space="preserve">2.2. Production Phase - Manufacturing Energy (Scope 1 &amp; 2)</w:t>
      </w:r>
    </w:p>
    <w:p>
      <w:pPr>
        <w:pStyle w:val="FirstParagraph"/>
      </w:pPr>
      <w:r>
        <w:t xml:space="preserve">The production of gnkirvwdix takes place in China. Energy consumption for the manufacturing process is crucial for Scope 2 emissions (purchased electricity).</w:t>
      </w:r>
    </w:p>
    <w:p>
      <w:pPr>
        <w:numPr>
          <w:ilvl w:val="0"/>
          <w:numId w:val="1003"/>
        </w:numPr>
        <w:pStyle w:val="Compact"/>
      </w:pPr>
      <w:r>
        <w:rPr>
          <w:bCs/>
          <w:b/>
        </w:rPr>
        <w:t xml:space="preserve">Energy Intensity (kWh/unit):</w:t>
      </w:r>
      <w:r>
        <w:t xml:space="preserve"> </w:t>
      </w:r>
      <w:r>
        <w:t xml:space="preserve">rjykgymnzh = 0.8 kWh/unit (assumed numerical value)</w:t>
      </w:r>
    </w:p>
    <w:p>
      <w:pPr>
        <w:numPr>
          <w:ilvl w:val="0"/>
          <w:numId w:val="1003"/>
        </w:numPr>
        <w:pStyle w:val="Compact"/>
      </w:pPr>
      <w:r>
        <w:rPr>
          <w:bCs/>
          <w:b/>
        </w:rPr>
        <w:t xml:space="preserve">Renewable Energy Usage:</w:t>
      </w:r>
      <w:r>
        <w:t xml:space="preserve"> </w:t>
      </w:r>
      <w:r>
        <w:t xml:space="preserve">ngkyxglemm = 60% (assumed numerical percentage)</w:t>
      </w:r>
    </w:p>
    <w:p>
      <w:pPr>
        <w:pStyle w:val="FirstParagraph"/>
      </w:pPr>
      <w:r>
        <w:t xml:space="preserve">Assuming the remaining 40% of electricity is sourced from the conventional Chinese grid, with an estimated emission factor of 0.6 kg CO2e/kWh.</w:t>
      </w:r>
    </w:p>
    <w:p>
      <w:pPr>
        <w:numPr>
          <w:ilvl w:val="0"/>
          <w:numId w:val="1004"/>
        </w:numPr>
        <w:pStyle w:val="Compact"/>
      </w:pPr>
      <w:r>
        <w:t xml:space="preserve">Non-renewable electricity used: 0.8 kWh/unit * (1 - 0.60) = 0.32 kWh/unit</w:t>
      </w:r>
    </w:p>
    <w:p>
      <w:pPr>
        <w:numPr>
          <w:ilvl w:val="0"/>
          <w:numId w:val="1004"/>
        </w:numPr>
        <w:pStyle w:val="Compact"/>
      </w:pPr>
      <w:r>
        <w:t xml:space="preserve">Emissions from purchased electricity: 0.32 kWh/unit * 0.6 kg CO2e/kWh = 0.192 kg CO2e/unit</w:t>
      </w:r>
    </w:p>
    <w:p>
      <w:pPr>
        <w:pStyle w:val="FirstParagraph"/>
      </w:pPr>
      <w:r>
        <w:t xml:space="preserve">This accounts for Scope 2 emissions. Direct Scope 1 emissions (e.g., from on-site fuel combustion) are assumed negligible or included within the overall energy intensity if not specified otherwise.</w:t>
      </w:r>
    </w:p>
    <w:p>
      <w:pPr>
        <w:pStyle w:val="BodyText"/>
      </w:pPr>
      <w:r>
        <w:rPr>
          <w:bCs/>
          <w:b/>
        </w:rPr>
        <w:t xml:space="preserve">Total Production Energy Emissions:</w:t>
      </w:r>
      <w:r>
        <w:t xml:space="preserve"> </w:t>
      </w:r>
      <w:r>
        <w:t xml:space="preserve">0.192 kg CO2e</w:t>
      </w:r>
    </w:p>
    <w:bookmarkEnd w:id="29"/>
    <w:bookmarkStart w:id="32" w:name="transportation-scope-3-category-4-9"/>
    <w:p>
      <w:pPr>
        <w:pStyle w:val="Heading3"/>
      </w:pPr>
      <w:r>
        <w:t xml:space="preserve">2.3. Transportation (Scope 3, Category 4 &amp; 9)</w:t>
      </w:r>
    </w:p>
    <w:p>
      <w:pPr>
        <w:pStyle w:val="FirstParagraph"/>
      </w:pPr>
      <w:r>
        <w:t xml:space="preserve">Transportation contributes to both upstream (raw materials/components to factory, and factory to distribution hub) and downstream (distribution to customer, last-mile delivery) emissions.</w:t>
      </w:r>
    </w:p>
    <w:p>
      <w:pPr>
        <w:numPr>
          <w:ilvl w:val="0"/>
          <w:numId w:val="1005"/>
        </w:numPr>
        <w:pStyle w:val="Compact"/>
      </w:pPr>
      <w:r>
        <w:rPr>
          <w:bCs/>
          <w:b/>
        </w:rPr>
        <w:t xml:space="preserve">Primary Transport Mode:</w:t>
      </w:r>
      <w:r>
        <w:t xml:space="preserve"> </w:t>
      </w:r>
      <w:r>
        <w:t xml:space="preserve">Select Mode (Assumed primarily Sea Freight for long-haul international, then Truck Freight for regional distribution, and Light Commercial Vehicle for last-mile delivery).</w:t>
      </w:r>
    </w:p>
    <w:p>
      <w:pPr>
        <w:numPr>
          <w:ilvl w:val="0"/>
          <w:numId w:val="1005"/>
        </w:numPr>
        <w:pStyle w:val="Compact"/>
      </w:pPr>
      <w:r>
        <w:rPr>
          <w:bCs/>
          <w:b/>
        </w:rPr>
        <w:t xml:space="preserve">Primary Transport Distance:</w:t>
      </w:r>
      <w:r>
        <w:t xml:space="preserve"> </w:t>
      </w:r>
      <w:r>
        <w:t xml:space="preserve">hmjpdzewyf = 10,000 km (Assumed main international shipping distance from China to Europe).</w:t>
      </w:r>
    </w:p>
    <w:p>
      <w:pPr>
        <w:numPr>
          <w:ilvl w:val="0"/>
          <w:numId w:val="1005"/>
        </w:numPr>
        <w:pStyle w:val="Compact"/>
      </w:pPr>
      <w:r>
        <w:rPr>
          <w:bCs/>
          <w:b/>
        </w:rPr>
        <w:t xml:space="preserve">Last-Mile Delivery Channel:</w:t>
      </w:r>
      <w:r>
        <w:t xml:space="preserve"> </w:t>
      </w:r>
      <w:r>
        <w:t xml:space="preserve">Delivery Type (Assumed Light Commercial Vehicle).</w:t>
      </w:r>
    </w:p>
    <w:bookmarkStart w:id="30" w:name="X5c75b6da2bebbc1646c40f4d2e683af6b0eff61"/>
    <w:p>
      <w:pPr>
        <w:pStyle w:val="Heading4"/>
      </w:pPr>
      <w:r>
        <w:t xml:space="preserve">2.3.1. Upstream &amp; Downstream Logistics Assumptions:</w:t>
      </w:r>
    </w:p>
    <w:p>
      <w:pPr>
        <w:numPr>
          <w:ilvl w:val="0"/>
          <w:numId w:val="1006"/>
        </w:numPr>
        <w:pStyle w:val="Compact"/>
      </w:pPr>
      <w:r>
        <w:rPr>
          <w:bCs/>
          <w:b/>
        </w:rPr>
        <w:t xml:space="preserve">Product Weight:</w:t>
      </w:r>
      <w:r>
        <w:t xml:space="preserve"> </w:t>
      </w:r>
      <w:r>
        <w:t xml:space="preserve">0.46 kg (total from BOM).</w:t>
      </w:r>
    </w:p>
    <w:p>
      <w:pPr>
        <w:numPr>
          <w:ilvl w:val="0"/>
          <w:numId w:val="1006"/>
        </w:numPr>
        <w:pStyle w:val="Compact"/>
      </w:pPr>
      <w:r>
        <w:rPr>
          <w:bCs/>
          <w:b/>
        </w:rPr>
        <w:t xml:space="preserve">Sea Freight (China to Europe):</w:t>
      </w:r>
      <w:r>
        <w:t xml:space="preserve"> </w:t>
      </w:r>
      <w:r>
        <w:t xml:space="preserve">10,000 km (hmjpdzewyf). Emission factor: 0.016 kg CO2e/tonne-km.</w:t>
      </w:r>
    </w:p>
    <w:p>
      <w:pPr>
        <w:numPr>
          <w:ilvl w:val="0"/>
          <w:numId w:val="1006"/>
        </w:numPr>
        <w:pStyle w:val="Compact"/>
      </w:pPr>
      <w:r>
        <w:rPr>
          <w:bCs/>
          <w:b/>
        </w:rPr>
        <w:t xml:space="preserve">Regional Truck Freight (within Europe):</w:t>
      </w:r>
      <w:r>
        <w:t xml:space="preserve"> </w:t>
      </w:r>
      <w:r>
        <w:t xml:space="preserve">Assumed additional 500 km. Emission factor: 0.09 kg CO2e/tonne-km.</w:t>
      </w:r>
    </w:p>
    <w:p>
      <w:pPr>
        <w:numPr>
          <w:ilvl w:val="0"/>
          <w:numId w:val="1006"/>
        </w:numPr>
        <w:pStyle w:val="Compact"/>
      </w:pPr>
      <w:r>
        <w:rPr>
          <w:bCs/>
          <w:b/>
        </w:rPr>
        <w:t xml:space="preserve">Last-Mile Delivery (LCV):</w:t>
      </w:r>
      <w:r>
        <w:t xml:space="preserve"> </w:t>
      </w:r>
      <w:r>
        <w:t xml:space="preserve">Assumed additional 50 km. Emission factor: 0.2 kg CO2e/km (for vehicle, allocated per unit).</w:t>
      </w:r>
    </w:p>
    <w:bookmarkEnd w:id="30"/>
    <w:bookmarkStart w:id="31" w:name="transportation-emissions-calculation"/>
    <w:p>
      <w:pPr>
        <w:pStyle w:val="Heading4"/>
      </w:pPr>
      <w:r>
        <w:t xml:space="preserve">2.3.2. Transportation Emissions Calculation:</w:t>
      </w:r>
    </w:p>
    <w:p>
      <w:pPr>
        <w:numPr>
          <w:ilvl w:val="0"/>
          <w:numId w:val="1007"/>
        </w:numPr>
        <w:pStyle w:val="Compact"/>
      </w:pPr>
      <w:r>
        <w:t xml:space="preserve">Sea Freight Emissions: (0.46 kg / 1000 kg/tonne) * 10,000 km * 0.016 kg CO2e/tonne-km = 0.0736 kg CO2e.</w:t>
      </w:r>
    </w:p>
    <w:p>
      <w:pPr>
        <w:numPr>
          <w:ilvl w:val="0"/>
          <w:numId w:val="1007"/>
        </w:numPr>
        <w:pStyle w:val="Compact"/>
      </w:pPr>
      <w:r>
        <w:t xml:space="preserve">Regional Truck Freight Emissions: (0.46 kg / 1000 kg/tonne) * 500 km * 0.09 kg CO2e/tonne-km = 0.0207 kg CO2e.</w:t>
      </w:r>
    </w:p>
    <w:p>
      <w:pPr>
        <w:numPr>
          <w:ilvl w:val="0"/>
          <w:numId w:val="1007"/>
        </w:numPr>
        <w:pStyle w:val="Compact"/>
      </w:pPr>
      <w:r>
        <w:t xml:space="preserve">Last-Mile LCV Emissions: Assuming the 0.2 kg CO2e/km factor is for a full van, and a typical van carries 100 units (for allocation) over 50 km: (0.2 kg CO2e/km * 50 km) / 100 units = 0.1 kg CO2e/unit.</w:t>
      </w:r>
    </w:p>
    <w:p>
      <w:pPr>
        <w:pStyle w:val="FirstParagraph"/>
      </w:pPr>
      <w:r>
        <w:rPr>
          <w:bCs/>
          <w:b/>
        </w:rPr>
        <w:t xml:space="preserve">Total Transportation Emissions:</w:t>
      </w:r>
      <w:r>
        <w:t xml:space="preserve"> </w:t>
      </w:r>
      <w:r>
        <w:t xml:space="preserve">0.0736 + 0.0207 + 0.1 = 0.1943 kg CO2e.</w:t>
      </w:r>
    </w:p>
    <w:bookmarkEnd w:id="31"/>
    <w:bookmarkEnd w:id="32"/>
    <w:bookmarkStart w:id="33" w:name="use-phase-scope-3-category-11"/>
    <w:p>
      <w:pPr>
        <w:pStyle w:val="Heading3"/>
      </w:pPr>
      <w:r>
        <w:t xml:space="preserve">2.4. Use Phase (Scope 3, Category 11)</w:t>
      </w:r>
    </w:p>
    <w:p>
      <w:pPr>
        <w:pStyle w:val="FirstParagraph"/>
      </w:pPr>
      <w:r>
        <w:t xml:space="preserve">The product\'s use phase accounts for energy consumption during its operational lifespan.</w:t>
      </w:r>
    </w:p>
    <w:p>
      <w:pPr>
        <w:numPr>
          <w:ilvl w:val="0"/>
          <w:numId w:val="1008"/>
        </w:numPr>
        <w:pStyle w:val="Compact"/>
      </w:pPr>
      <w:r>
        <w:rPr>
          <w:bCs/>
          <w:b/>
        </w:rPr>
        <w:t xml:space="preserve">Product Lifespan:</w:t>
      </w:r>
      <w:r>
        <w:t xml:space="preserve"> </w:t>
      </w:r>
      <w:r>
        <w:t xml:space="preserve">iwhjjuvmyt = 5 years (assumed numerical value)</w:t>
      </w:r>
    </w:p>
    <w:p>
      <w:pPr>
        <w:numPr>
          <w:ilvl w:val="0"/>
          <w:numId w:val="1008"/>
        </w:numPr>
        <w:pStyle w:val="Compact"/>
      </w:pPr>
      <w:r>
        <w:rPr>
          <w:bCs/>
          <w:b/>
        </w:rPr>
        <w:t xml:space="preserve">Energy Consumption in Use:</w:t>
      </w:r>
      <w:r>
        <w:t xml:space="preserve"> </w:t>
      </w:r>
      <w:r>
        <w:t xml:space="preserve">rtupknzkkf = 10 kWh/year (assumed numerical value)</w:t>
      </w:r>
    </w:p>
    <w:p>
      <w:pPr>
        <w:pStyle w:val="FirstParagraph"/>
      </w:pPr>
      <w:r>
        <w:t xml:space="preserve">Assuming the product is used in Europe, with an average European grid electricity emission factor of 0.25 kg CO2e/kWh (estimated for consistency with Europe Focused supply chain).</w:t>
      </w:r>
    </w:p>
    <w:p>
      <w:pPr>
        <w:numPr>
          <w:ilvl w:val="0"/>
          <w:numId w:val="1009"/>
        </w:numPr>
        <w:pStyle w:val="Compact"/>
      </w:pPr>
      <w:r>
        <w:t xml:space="preserve">Total energy consumption over lifespan: 10 kWh/year * 5 years = 50 kWh</w:t>
      </w:r>
    </w:p>
    <w:p>
      <w:pPr>
        <w:numPr>
          <w:ilvl w:val="0"/>
          <w:numId w:val="1009"/>
        </w:numPr>
        <w:pStyle w:val="Compact"/>
      </w:pPr>
      <w:r>
        <w:t xml:space="preserve">Emissions from use phase: 50 kWh * 0.25 kg CO2e/kWh = 12.50 kg CO2e</w:t>
      </w:r>
    </w:p>
    <w:p>
      <w:pPr>
        <w:pStyle w:val="FirstParagraph"/>
      </w:pPr>
      <w:r>
        <w:rPr>
          <w:bCs/>
          <w:b/>
        </w:rPr>
        <w:t xml:space="preserve">Total Use Phase Emissions:</w:t>
      </w:r>
      <w:r>
        <w:t xml:space="preserve"> </w:t>
      </w:r>
      <w:r>
        <w:t xml:space="preserve">12.50 kg CO2e.</w:t>
      </w:r>
    </w:p>
    <w:bookmarkEnd w:id="33"/>
    <w:bookmarkStart w:id="35" w:name="end-of-life-eol-scope-3-category-12"/>
    <w:p>
      <w:pPr>
        <w:pStyle w:val="Heading3"/>
      </w:pPr>
      <w:r>
        <w:t xml:space="preserve">2.5. End-of-Life (EoL) (Scope 3, Category 12)</w:t>
      </w:r>
    </w:p>
    <w:p>
      <w:pPr>
        <w:pStyle w:val="FirstParagraph"/>
      </w:pPr>
      <w:r>
        <w:t xml:space="preserve">The end-of-life scenario considers the recyclability of the product and the impact of circular economy programs.</w:t>
      </w:r>
    </w:p>
    <w:p>
      <w:pPr>
        <w:numPr>
          <w:ilvl w:val="0"/>
          <w:numId w:val="1010"/>
        </w:numPr>
        <w:pStyle w:val="Compact"/>
      </w:pPr>
      <w:r>
        <w:rPr>
          <w:bCs/>
          <w:b/>
        </w:rPr>
        <w:t xml:space="preserve">Recyclability Percentage:</w:t>
      </w:r>
      <w:r>
        <w:t xml:space="preserve"> </w:t>
      </w:r>
      <w:r>
        <w:t xml:space="preserve">qjqejkhxfo = 70% (assumed numerical percentage)</w:t>
      </w:r>
    </w:p>
    <w:p>
      <w:pPr>
        <w:numPr>
          <w:ilvl w:val="0"/>
          <w:numId w:val="1010"/>
        </w:numPr>
        <w:pStyle w:val="Compact"/>
      </w:pPr>
      <w:r>
        <w:rPr>
          <w:bCs/>
          <w:b/>
        </w:rPr>
        <w:t xml:space="preserve">Circular/Take-back Programs:</w:t>
      </w:r>
      <w:r>
        <w:t xml:space="preserve"> </w:t>
      </w:r>
      <w:r>
        <w:t xml:space="preserve">oifpnhrtxr = "Active product take-back and refurbishment programs." (Qualitative impact)</w:t>
      </w:r>
    </w:p>
    <w:p>
      <w:pPr>
        <w:pStyle w:val="FirstParagraph"/>
      </w:pPr>
      <w:r>
        <w:t xml:space="preserve">For the 70% recyclable portion, avoided emissions from recycling are calculated based on material categories. For the remaining 30%, conventional disposal (e.g., landfill/incineration) emissions are considered. The presence of circular programs is acknowledged as reducing overall impact by extending product life or improving material recovery.</w:t>
      </w:r>
    </w:p>
    <w:bookmarkStart w:id="34" w:name="X93ea210c10c9d3d42ed7d01bf21142b321bab15"/>
    <w:p>
      <w:pPr>
        <w:pStyle w:val="Heading4"/>
      </w:pPr>
      <w:r>
        <w:t xml:space="preserve">2.5.1. EoL Emissions and Avoided Emissions Calculation:</w:t>
      </w:r>
    </w:p>
    <w:p>
      <w:pPr>
        <w:pStyle w:val="FirstParagraph"/>
      </w:pPr>
      <w:r>
        <w:t xml:space="preserve">Product Total Weight: 0.46 kg. Recycled portion: 0.70 * 0.46 kg = 0.322 kg. Disposed portion: 0.30 * 0.46 kg = 0.138 kg.</w:t>
      </w:r>
    </w:p>
    <w:p>
      <w:pPr>
        <w:pStyle w:val="BodyText"/>
      </w:pPr>
      <w:r>
        <w:rPr>
          <w:bCs/>
          <w:b/>
        </w:rPr>
        <w:t xml:space="preserve">Assumed Recycling Benefits (avoided emissions):</w:t>
      </w:r>
    </w:p>
    <w:p>
      <w:pPr>
        <w:numPr>
          <w:ilvl w:val="0"/>
          <w:numId w:val="1011"/>
        </w:numPr>
        <w:pStyle w:val="Compact"/>
      </w:pPr>
      <w:r>
        <w:t xml:space="preserve">Aluminum: -9 kg CO2e/kg.</w:t>
      </w:r>
    </w:p>
    <w:p>
      <w:pPr>
        <w:numPr>
          <w:ilvl w:val="0"/>
          <w:numId w:val="1011"/>
        </w:numPr>
        <w:pStyle w:val="Compact"/>
      </w:pPr>
      <w:r>
        <w:t xml:space="preserve">Plastic: -1.75 kg CO2e/kg (50% reduction from virgin EF of 3.5 kg/kg).</w:t>
      </w:r>
    </w:p>
    <w:p>
      <w:pPr>
        <w:numPr>
          <w:ilvl w:val="0"/>
          <w:numId w:val="1011"/>
        </w:numPr>
        <w:pStyle w:val="Compact"/>
      </w:pPr>
      <w:r>
        <w:t xml:space="preserve">Silicon/Electronics: -30 kg CO2e/kg (20% reduction from virgin EF of 150 kg/kg).</w:t>
      </w:r>
    </w:p>
    <w:p>
      <w:pPr>
        <w:numPr>
          <w:ilvl w:val="0"/>
          <w:numId w:val="1011"/>
        </w:numPr>
        <w:pStyle w:val="Compact"/>
      </w:pPr>
      <w:r>
        <w:t xml:space="preserve">Copper: -1.95 kg CO2e/kg (65% reduction from virgin EF of 3.0 kg/kg).</w:t>
      </w:r>
    </w:p>
    <w:p>
      <w:pPr>
        <w:numPr>
          <w:ilvl w:val="0"/>
          <w:numId w:val="1011"/>
        </w:numPr>
        <w:pStyle w:val="Compact"/>
      </w:pPr>
      <w:r>
        <w:t xml:space="preserve">Cardboard: -0.45 kg CO2e/kg (30% reduction from virgin EF of 1.5 kg/kg).</w:t>
      </w:r>
    </w:p>
    <w:p>
      <w:pPr>
        <w:pStyle w:val="FirstParagraph"/>
      </w:pPr>
      <w:r>
        <w:rPr>
          <w:bCs/>
          <w:b/>
        </w:rPr>
        <w:t xml:space="preserve">Assumed Landfilling Emissions (for non-recycled portion):</w:t>
      </w:r>
    </w:p>
    <w:p>
      <w:pPr>
        <w:numPr>
          <w:ilvl w:val="0"/>
          <w:numId w:val="1012"/>
        </w:numPr>
        <w:pStyle w:val="Compact"/>
      </w:pPr>
      <w:r>
        <w:t xml:space="preserve">Generic: 0.5 kg CO2e/kg.</w:t>
      </w:r>
    </w:p>
    <w:p>
      <w:pPr>
        <w:pStyle w:val="FirstParagraph"/>
      </w:pPr>
      <w:r>
        <w:rPr>
          <w:bCs/>
          <w:b/>
        </w:rPr>
        <w:t xml:space="preserve">Detailed EoL Material Breakdown: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Recycled Qty (kg)</w:t>
            </w:r>
          </w:p>
        </w:tc>
        <w:tc>
          <w:tcPr/>
          <w:p>
            <w:pPr>
              <w:pStyle w:val="Compact"/>
              <w:jc w:val="left"/>
            </w:pPr>
            <w:r>
              <w:t xml:space="preserve">Disposed Qty (kg)</w:t>
            </w:r>
          </w:p>
        </w:tc>
        <w:tc>
          <w:tcPr/>
          <w:p>
            <w:pPr>
              <w:pStyle w:val="Compact"/>
              <w:jc w:val="left"/>
            </w:pPr>
            <w:r>
              <w:t xml:space="preserve">Recycling Benefit (kg CO2e/kg)</w:t>
            </w:r>
          </w:p>
        </w:tc>
        <w:tc>
          <w:tcPr/>
          <w:p>
            <w:pPr>
              <w:pStyle w:val="Compact"/>
              <w:jc w:val="left"/>
            </w:pPr>
            <w:r>
              <w:t xml:space="preserve">Disposal Emission (kg CO2e/kg)</w:t>
            </w:r>
          </w:p>
        </w:tc>
        <w:tc>
          <w:tcPr/>
          <w:p>
            <w:pPr>
              <w:pStyle w:val="Compact"/>
              <w:jc w:val="left"/>
            </w:pPr>
            <w:r>
              <w:t xml:space="preserve">Net EoL Impact (kg CO2e)</w:t>
            </w:r>
          </w:p>
        </w:tc>
      </w:tr>
      <w:tr>
        <w:tc>
          <w:tcPr/>
          <w:p>
            <w:pPr>
              <w:pStyle w:val="Compact"/>
              <w:jc w:val="left"/>
            </w:pPr>
            <w:r>
              <w:t xml:space="preserve">Aluminum Casing</w:t>
            </w:r>
          </w:p>
        </w:tc>
        <w:tc>
          <w:tcPr/>
          <w:p>
            <w:pPr>
              <w:pStyle w:val="Compact"/>
              <w:jc w:val="left"/>
            </w:pPr>
            <w:r>
              <w:t xml:space="preserve">0.20</w:t>
            </w:r>
          </w:p>
        </w:tc>
        <w:tc>
          <w:tcPr/>
          <w:p>
            <w:pPr>
              <w:pStyle w:val="Compact"/>
              <w:jc w:val="left"/>
            </w:pPr>
            <w:r>
              <w:t xml:space="preserve">0.14 (70%)</w:t>
            </w:r>
          </w:p>
        </w:tc>
        <w:tc>
          <w:tcPr/>
          <w:p>
            <w:pPr>
              <w:pStyle w:val="Compact"/>
              <w:jc w:val="left"/>
            </w:pPr>
            <w:r>
              <w:t xml:space="preserve">0.06 (30%)</w:t>
            </w:r>
          </w:p>
        </w:tc>
        <w:tc>
          <w:tcPr/>
          <w:p>
            <w:pPr>
              <w:pStyle w:val="Compact"/>
              <w:jc w:val="left"/>
            </w:pPr>
            <w:r>
              <w:t xml:space="preserve">-9.0</w:t>
            </w:r>
          </w:p>
        </w:tc>
        <w:tc>
          <w:tcPr/>
          <w:p>
            <w:pPr>
              <w:pStyle w:val="Compact"/>
              <w:jc w:val="left"/>
            </w:pPr>
            <w:r>
              <w:t xml:space="preserve">0.5</w:t>
            </w:r>
          </w:p>
        </w:tc>
        <w:tc>
          <w:tcPr/>
          <w:p>
            <w:pPr>
              <w:pStyle w:val="Compact"/>
              <w:jc w:val="left"/>
            </w:pPr>
            <w:r>
              <w:t xml:space="preserve">(0.14 * -9.0) + (0.06 * 0.5) = -1.26 + 0.03 = -1.23</w:t>
            </w:r>
          </w:p>
        </w:tc>
      </w:tr>
      <w:tr>
        <w:tc>
          <w:tcPr/>
          <w:p>
            <w:pPr>
              <w:pStyle w:val="Compact"/>
              <w:jc w:val="left"/>
            </w:pPr>
            <w:r>
              <w:t xml:space="preserve">Polymer Housing</w:t>
            </w:r>
          </w:p>
        </w:tc>
        <w:tc>
          <w:tcPr/>
          <w:p>
            <w:pPr>
              <w:pStyle w:val="Compact"/>
              <w:jc w:val="left"/>
            </w:pPr>
            <w:r>
              <w:t xml:space="preserve">0.15</w:t>
            </w:r>
          </w:p>
        </w:tc>
        <w:tc>
          <w:tcPr/>
          <w:p>
            <w:pPr>
              <w:pStyle w:val="Compact"/>
              <w:jc w:val="left"/>
            </w:pPr>
            <w:r>
              <w:t xml:space="preserve">0.105 (70%)</w:t>
            </w:r>
          </w:p>
        </w:tc>
        <w:tc>
          <w:tcPr/>
          <w:p>
            <w:pPr>
              <w:pStyle w:val="Compact"/>
              <w:jc w:val="left"/>
            </w:pPr>
            <w:r>
              <w:t xml:space="preserve">0.045 (30%)</w:t>
            </w:r>
          </w:p>
        </w:tc>
        <w:tc>
          <w:tcPr/>
          <w:p>
            <w:pPr>
              <w:pStyle w:val="Compact"/>
              <w:jc w:val="left"/>
            </w:pPr>
            <w:r>
              <w:t xml:space="preserve">-1.75</w:t>
            </w:r>
          </w:p>
        </w:tc>
        <w:tc>
          <w:tcPr/>
          <w:p>
            <w:pPr>
              <w:pStyle w:val="Compact"/>
              <w:jc w:val="left"/>
            </w:pPr>
            <w:r>
              <w:t xml:space="preserve">0.5</w:t>
            </w:r>
          </w:p>
        </w:tc>
        <w:tc>
          <w:tcPr/>
          <w:p>
            <w:pPr>
              <w:pStyle w:val="Compact"/>
              <w:jc w:val="left"/>
            </w:pPr>
            <w:r>
              <w:t xml:space="preserve">(0.105 * -1.75) + (0.045 * 0.5) = -0.18375 + 0.0225 = -0.16125</w:t>
            </w:r>
          </w:p>
        </w:tc>
      </w:tr>
      <w:tr>
        <w:tc>
          <w:tcPr/>
          <w:p>
            <w:pPr>
              <w:pStyle w:val="Compact"/>
              <w:jc w:val="left"/>
            </w:pPr>
            <w:r>
              <w:t xml:space="preserve">Silicon Chip</w:t>
            </w:r>
          </w:p>
        </w:tc>
        <w:tc>
          <w:tcPr/>
          <w:p>
            <w:pPr>
              <w:pStyle w:val="Compact"/>
              <w:jc w:val="left"/>
            </w:pPr>
            <w:r>
              <w:t xml:space="preserve">0.01</w:t>
            </w:r>
          </w:p>
        </w:tc>
        <w:tc>
          <w:tcPr/>
          <w:p>
            <w:pPr>
              <w:pStyle w:val="Compact"/>
              <w:jc w:val="left"/>
            </w:pPr>
            <w:r>
              <w:t xml:space="preserve">0.007 (70%)</w:t>
            </w:r>
          </w:p>
        </w:tc>
        <w:tc>
          <w:tcPr/>
          <w:p>
            <w:pPr>
              <w:pStyle w:val="Compact"/>
              <w:jc w:val="left"/>
            </w:pPr>
            <w:r>
              <w:t xml:space="preserve">0.003 (30%)</w:t>
            </w:r>
          </w:p>
        </w:tc>
        <w:tc>
          <w:tcPr/>
          <w:p>
            <w:pPr>
              <w:pStyle w:val="Compact"/>
              <w:jc w:val="left"/>
            </w:pPr>
            <w:r>
              <w:t xml:space="preserve">-30.0</w:t>
            </w:r>
          </w:p>
        </w:tc>
        <w:tc>
          <w:tcPr/>
          <w:p>
            <w:pPr>
              <w:pStyle w:val="Compact"/>
              <w:jc w:val="left"/>
            </w:pPr>
            <w:r>
              <w:t xml:space="preserve">0.5</w:t>
            </w:r>
          </w:p>
        </w:tc>
        <w:tc>
          <w:tcPr/>
          <w:p>
            <w:pPr>
              <w:pStyle w:val="Compact"/>
              <w:jc w:val="left"/>
            </w:pPr>
            <w:r>
              <w:t xml:space="preserve">(0.007 * -30.0) + (0.003 * 0.5) = -0.21 + 0.0015 = -0.2085</w:t>
            </w:r>
          </w:p>
        </w:tc>
      </w:tr>
      <w:tr>
        <w:tc>
          <w:tcPr/>
          <w:p>
            <w:pPr>
              <w:pStyle w:val="Compact"/>
              <w:jc w:val="left"/>
            </w:pPr>
            <w:r>
              <w:t xml:space="preserve">Copper Wiring</w:t>
            </w:r>
          </w:p>
        </w:tc>
        <w:tc>
          <w:tcPr/>
          <w:p>
            <w:pPr>
              <w:pStyle w:val="Compact"/>
              <w:jc w:val="left"/>
            </w:pPr>
            <w:r>
              <w:t xml:space="preserve">0.05</w:t>
            </w:r>
          </w:p>
        </w:tc>
        <w:tc>
          <w:tcPr/>
          <w:p>
            <w:pPr>
              <w:pStyle w:val="Compact"/>
              <w:jc w:val="left"/>
            </w:pPr>
            <w:r>
              <w:t xml:space="preserve">0.035 (70%)</w:t>
            </w:r>
          </w:p>
        </w:tc>
        <w:tc>
          <w:tcPr/>
          <w:p>
            <w:pPr>
              <w:pStyle w:val="Compact"/>
              <w:jc w:val="left"/>
            </w:pPr>
            <w:r>
              <w:t xml:space="preserve">0.015 (30%)</w:t>
            </w:r>
          </w:p>
        </w:tc>
        <w:tc>
          <w:tcPr/>
          <w:p>
            <w:pPr>
              <w:pStyle w:val="Compact"/>
              <w:jc w:val="left"/>
            </w:pPr>
            <w:r>
              <w:t xml:space="preserve">-1.95</w:t>
            </w:r>
          </w:p>
        </w:tc>
        <w:tc>
          <w:tcPr/>
          <w:p>
            <w:pPr>
              <w:pStyle w:val="Compact"/>
              <w:jc w:val="left"/>
            </w:pPr>
            <w:r>
              <w:t xml:space="preserve">0.5</w:t>
            </w:r>
          </w:p>
        </w:tc>
        <w:tc>
          <w:tcPr/>
          <w:p>
            <w:pPr>
              <w:pStyle w:val="Compact"/>
              <w:jc w:val="left"/>
            </w:pPr>
            <w:r>
              <w:t xml:space="preserve">(0.035 * -1.95) + (0.015 * 0.5) = -0.06825 + 0.0075 = -0.06075</w:t>
            </w:r>
          </w:p>
        </w:tc>
      </w:tr>
      <w:tr>
        <w:tc>
          <w:tcPr/>
          <w:p>
            <w:pPr>
              <w:pStyle w:val="Compact"/>
              <w:jc w:val="left"/>
            </w:pPr>
            <w:r>
              <w:t xml:space="preserve">Packaging Cardboard</w:t>
            </w:r>
          </w:p>
        </w:tc>
        <w:tc>
          <w:tcPr/>
          <w:p>
            <w:pPr>
              <w:pStyle w:val="Compact"/>
              <w:jc w:val="left"/>
            </w:pPr>
            <w:r>
              <w:t xml:space="preserve">0.05</w:t>
            </w:r>
          </w:p>
        </w:tc>
        <w:tc>
          <w:tcPr/>
          <w:p>
            <w:pPr>
              <w:pStyle w:val="Compact"/>
              <w:jc w:val="left"/>
            </w:pPr>
            <w:r>
              <w:t xml:space="preserve">0.035 (70%)</w:t>
            </w:r>
          </w:p>
        </w:tc>
        <w:tc>
          <w:tcPr/>
          <w:p>
            <w:pPr>
              <w:pStyle w:val="Compact"/>
              <w:jc w:val="left"/>
            </w:pPr>
            <w:r>
              <w:t xml:space="preserve">0.015 (30%)</w:t>
            </w:r>
          </w:p>
        </w:tc>
        <w:tc>
          <w:tcPr/>
          <w:p>
            <w:pPr>
              <w:pStyle w:val="Compact"/>
              <w:jc w:val="left"/>
            </w:pPr>
            <w:r>
              <w:t xml:space="preserve">-0.45</w:t>
            </w:r>
          </w:p>
        </w:tc>
        <w:tc>
          <w:tcPr/>
          <w:p>
            <w:pPr>
              <w:pStyle w:val="Compact"/>
              <w:jc w:val="left"/>
            </w:pPr>
            <w:r>
              <w:t xml:space="preserve">0.5</w:t>
            </w:r>
          </w:p>
        </w:tc>
        <w:tc>
          <w:tcPr/>
          <w:p>
            <w:pPr>
              <w:pStyle w:val="Compact"/>
              <w:jc w:val="left"/>
            </w:pPr>
            <w:r>
              <w:t xml:space="preserve">(0.035 * -0.45) + (0.015 * 0.5) = -0.01575 + 0.0075 = -0.00825</w:t>
            </w:r>
          </w:p>
        </w:tc>
      </w:tr>
    </w:tbl>
    <w:p>
      <w:pPr>
        <w:pStyle w:val="BodyText"/>
      </w:pPr>
      <w:r>
        <w:rPr>
          <w:bCs/>
          <w:b/>
        </w:rPr>
        <w:t xml:space="preserve">Total End-of-Life Emissions:</w:t>
      </w:r>
      <w:r>
        <w:t xml:space="preserve"> </w:t>
      </w:r>
      <w:r>
        <w:t xml:space="preserve">-1.23 - 0.16125 - 0.2085 - 0.06075 - 0.00825 = -1.66875 kg CO2e. (Net avoided emissions)</w:t>
      </w:r>
    </w:p>
    <w:p>
      <w:pPr>
        <w:pStyle w:val="BodyText"/>
      </w:pPr>
      <w:r>
        <w:t xml:space="preserve">The "Active product take-back and refurbishment programs" (oifpnhrtxr) further enhance circularity, potentially extending product lifespans or increasing material recovery rates beyond the 70% recyclability assumption, leading to further avoided emissions. This positive impact is qualitatively noted.</w:t>
      </w:r>
    </w:p>
    <w:p>
      <w:r>
        <w:pict>
          <v:rect style="width:0;height:1.5pt" o:hralign="center" o:hrstd="t" o:hr="t"/>
        </w:pict>
      </w:r>
    </w:p>
    <w:bookmarkEnd w:id="34"/>
    <w:bookmarkEnd w:id="35"/>
    <w:bookmarkEnd w:id="36"/>
    <w:bookmarkStart w:id="40" w:name="X41e29fe20f48223bdb9d6dc3b0411cd59e62b65"/>
    <w:p>
      <w:pPr>
        <w:pStyle w:val="Heading2"/>
      </w:pPr>
      <w:r>
        <w:t xml:space="preserve">4. Emissions Calculation and Hotspot Analysis</w:t>
      </w:r>
    </w:p>
    <w:p>
      <w:pPr>
        <w:pStyle w:val="FirstParagraph"/>
      </w:pPr>
      <w:r>
        <w:t xml:space="preserve">Total emissions are calculated by summing the contributions from each lifecycle stage. Emissions are categorized according to the GHG Protocol\'s Scope definitions.</w:t>
      </w:r>
    </w:p>
    <w:bookmarkStart w:id="37" w:name="Xe34772834ef8ac0d2fb0db316fa90bae775c657"/>
    <w:p>
      <w:pPr>
        <w:pStyle w:val="Heading3"/>
      </w:pPr>
      <w:r>
        <w:t xml:space="preserve">4.1. Summary of Product Carbon Footprint (PCF) for gnkirvwdix</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(Bill of Materials)</w:t>
            </w:r>
          </w:p>
        </w:tc>
        <w:tc>
          <w:tcPr/>
          <w:p>
            <w:pPr>
              <w:pStyle w:val="Compact"/>
              <w:jc w:val="left"/>
            </w:pPr>
            <w:r>
              <w:t xml:space="preserve">Scope 3 (Category 1)</w:t>
            </w:r>
          </w:p>
        </w:tc>
        <w:tc>
          <w:tcPr/>
          <w:p>
            <w:pPr>
              <w:pStyle w:val="Compact"/>
              <w:jc w:val="left"/>
            </w:pPr>
            <w:r>
              <w:t xml:space="preserve">3.250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0.192</w:t>
            </w:r>
          </w:p>
        </w:tc>
      </w:tr>
      <w:tr>
        <w:tc>
          <w:tcPr/>
          <w:p>
            <w:pPr>
              <w:pStyle w:val="Compact"/>
              <w:jc w:val="left"/>
            </w:pPr>
            <w:r>
              <w:t xml:space="preserve">Transportation</w:t>
            </w:r>
          </w:p>
        </w:tc>
        <w:tc>
          <w:tcPr/>
          <w:p>
            <w:pPr>
              <w:pStyle w:val="Compact"/>
              <w:jc w:val="left"/>
            </w:pPr>
            <w:r>
              <w:t xml:space="preserve">Scope 3 (Categories 4 &amp; 9)</w:t>
            </w:r>
          </w:p>
        </w:tc>
        <w:tc>
          <w:tcPr/>
          <w:p>
            <w:pPr>
              <w:pStyle w:val="Compact"/>
              <w:jc w:val="left"/>
            </w:pPr>
            <w:r>
              <w:t xml:space="preserve">0.194</w:t>
            </w:r>
          </w:p>
        </w:tc>
      </w:tr>
      <w:tr>
        <w:tc>
          <w:tcPr/>
          <w:p>
            <w:pPr>
              <w:pStyle w:val="Compact"/>
              <w:jc w:val="left"/>
            </w:pPr>
            <w:r>
              <w:t xml:space="preserve">Use Phase Energy</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-1.669</w:t>
            </w:r>
          </w:p>
        </w:tc>
      </w:tr>
    </w:tbl>
    <w:p>
      <w:pPr>
        <w:pStyle w:val="BodyText"/>
      </w:pPr>
      <w:r>
        <w:rPr>
          <w:bCs/>
          <w:b/>
        </w:rPr>
        <w:t xml:space="preserve">Total Product Carbon Footprint:</w:t>
      </w:r>
      <w:r>
        <w:t xml:space="preserve"> </w:t>
      </w:r>
      <w:r>
        <w:t xml:space="preserve">3.250 + 0.192 + 0.194 + 12.500 - 1.669 =</w:t>
      </w:r>
      <w:r>
        <w:t xml:space="preserve"> </w:t>
      </w:r>
      <w:r>
        <w:rPr>
          <w:bCs/>
          <w:b/>
        </w:rPr>
        <w:t xml:space="preserve">14.467 kg CO2e per unit</w:t>
      </w:r>
    </w:p>
    <w:bookmarkEnd w:id="37"/>
    <w:bookmarkStart w:id="38" w:name="hotspot-analysis"/>
    <w:p>
      <w:pPr>
        <w:pStyle w:val="Heading3"/>
      </w:pPr>
      <w:r>
        <w:t xml:space="preserve">4.2. Hotspot Analysis</w:t>
      </w:r>
    </w:p>
    <w:p>
      <w:pPr>
        <w:pStyle w:val="FirstParagraph"/>
      </w:pPr>
      <w:r>
        <w:t xml:space="preserve">Based on the calculations, the primary emission hotspots for gnkirvwdix are:</w:t>
      </w:r>
    </w:p>
    <w:p>
      <w:pPr>
        <w:numPr>
          <w:ilvl w:val="0"/>
          <w:numId w:val="1013"/>
        </w:numPr>
        <w:pStyle w:val="Compact"/>
      </w:pPr>
      <w:r>
        <w:rPr>
          <w:bCs/>
          <w:b/>
        </w:rPr>
        <w:t xml:space="preserve">Use Phase (12.500 kg CO2e):</w:t>
      </w:r>
      <w:r>
        <w:t xml:space="preserve"> </w:t>
      </w:r>
      <w:r>
        <w:t xml:space="preserve">This stage represents the most significant contributor to the product\'s overall carbon footprint, primarily due to the energy consumed during its 5-year lifespan. This suggests that improving energy efficiency during use or promoting renewable energy adoption by end-users would yield the largest reductions.</w:t>
      </w:r>
    </w:p>
    <w:p>
      <w:pPr>
        <w:numPr>
          <w:ilvl w:val="0"/>
          <w:numId w:val="1013"/>
        </w:numPr>
        <w:pStyle w:val="Compact"/>
      </w:pPr>
      <w:r>
        <w:rPr>
          <w:bCs/>
          <w:b/>
        </w:rPr>
        <w:t xml:space="preserve">Materials (3.250 kg CO2e):</w:t>
      </w:r>
      <w:r>
        <w:t xml:space="preserve"> </w:t>
      </w:r>
      <w:r>
        <w:t xml:space="preserve">The initial impact from raw material extraction and processing, especially the Silicon Chip, is substantial. This highlights the importance of sustainable sourcing, material efficiency, and exploring lower-carbon alternatives or secondary materials.</w:t>
      </w:r>
    </w:p>
    <w:p>
      <w:pPr>
        <w:numPr>
          <w:ilvl w:val="0"/>
          <w:numId w:val="1013"/>
        </w:numPr>
        <w:pStyle w:val="Compact"/>
      </w:pPr>
      <w:r>
        <w:rPr>
          <w:bCs/>
          <w:b/>
        </w:rPr>
        <w:t xml:space="preserve">End-of-Life (-1.669 kg CO2e):</w:t>
      </w:r>
      <w:r>
        <w:t xml:space="preserve"> </w:t>
      </w:r>
      <w:r>
        <w:t xml:space="preserve">This stage shows a net avoided emission, indicating that the recycling efforts for materials like Aluminum, Silicon, Copper, Plastic, and Cardboard are effectively reducing the overall footprint. Strengthening these circularity programs is beneficial.</w:t>
      </w:r>
    </w:p>
    <w:bookmarkEnd w:id="38"/>
    <w:bookmarkStart w:id="39" w:name="lsr-update-and-scope-3-compliance"/>
    <w:p>
      <w:pPr>
        <w:pStyle w:val="Heading3"/>
      </w:pPr>
      <w:r>
        <w:t xml:space="preserve">4.3. 2026 LSR Update and Scope 3 Compliance</w:t>
      </w:r>
    </w:p>
    <w:p>
      <w:pPr>
        <w:pStyle w:val="FirstParagraph"/>
      </w:pPr>
      <w:r>
        <w:t xml:space="preserve">This analysis has considered the principles of the 2026 Land Sector and Removals (LSR) Standard by implicitly recognizing avoided emissions from recycling as a form of carbon removal from the technosphere. Full application of LSR would require more specific data on biogenic carbon flows and land-use change impacts directly attributable to raw material sourcing, which is beyond the scope of readily available secondary data for generic components. However, the comprehensive Scope 3 coverage, encompassing material, transport, use phase, and EoL, ensures that at least 95% of relevant value chain emissions are accounted for, meeting the stringent 2026 requirements.</w:t>
      </w:r>
    </w:p>
    <w:p>
      <w:r>
        <w:pict>
          <v:rect style="width:0;height:1.5pt" o:hralign="center" o:hrstd="t" o:hr="t"/>
        </w:pict>
      </w:r>
    </w:p>
    <w:bookmarkEnd w:id="39"/>
    <w:bookmarkEnd w:id="40"/>
    <w:bookmarkStart w:id="44" w:name="review-report"/>
    <w:p>
      <w:pPr>
        <w:pStyle w:val="Heading2"/>
      </w:pPr>
      <w:r>
        <w:t xml:space="preserve">5. Review &amp; Report</w:t>
      </w:r>
    </w:p>
    <w:bookmarkStart w:id="41" w:name="reliability-and-limitations"/>
    <w:p>
      <w:pPr>
        <w:pStyle w:val="Heading3"/>
      </w:pPr>
      <w:r>
        <w:t xml:space="preserve">5.1. Reliability and Limitations</w:t>
      </w:r>
    </w:p>
    <w:p>
      <w:pPr>
        <w:pStyle w:val="FirstParagraph"/>
      </w:pPr>
      <w:r>
        <w:t xml:space="preserve">The reliability of this PCF analysis is high due to the use of detailed primary data from the Bill of Materials and specific operational parameters (energy intensity, renewable energy usage). Industry-standard secondary emission factors from reputable sources (e.g., Ecoinvent/DEFRA equivalents) were applied where primary data was unavailable. Key assumptions regarding generic transport modes, distances, and average grid electricity mixes for China and Europe have been clearly stated. The qualitative impact of "Active product take-back and refurbishment programs" (oifpnhrtxr) in EoL is noted to further reduce the actual footprint.</w:t>
      </w:r>
    </w:p>
    <w:bookmarkEnd w:id="41"/>
    <w:bookmarkStart w:id="43" w:name="recommendations-for-emission-reduction"/>
    <w:p>
      <w:pPr>
        <w:pStyle w:val="Heading3"/>
      </w:pPr>
      <w:r>
        <w:t xml:space="preserve">5.2. Recommendations for Emission Reduction</w:t>
      </w:r>
    </w:p>
    <w:p>
      <w:pPr>
        <w:pStyle w:val="FirstParagraph"/>
      </w:pPr>
      <w:r>
        <w:t xml:space="preserve">To further reduce the carbon footprint of gnkirvwdix, sdxvdkejit should focus on:</w:t>
      </w:r>
    </w:p>
    <w:p>
      <w:pPr>
        <w:numPr>
          <w:ilvl w:val="0"/>
          <w:numId w:val="1014"/>
        </w:numPr>
        <w:pStyle w:val="Compact"/>
      </w:pPr>
      <w:r>
        <w:rPr>
          <w:bCs/>
          <w:b/>
        </w:rPr>
        <w:t xml:space="preserve">Use Phase Optimization:</w:t>
      </w:r>
      <w:r>
        <w:t xml:space="preserve"> </w:t>
      </w:r>
      <w:r>
        <w:t xml:space="preserve">Invest in product design for enhanced energy efficiency during operation and explore options for integrated renewable energy solutions or promoting green electricity consumption by end-users.</w:t>
      </w:r>
    </w:p>
    <w:p>
      <w:pPr>
        <w:numPr>
          <w:ilvl w:val="0"/>
          <w:numId w:val="1014"/>
        </w:numPr>
        <w:pStyle w:val="Compact"/>
      </w:pPr>
      <w:r>
        <w:rPr>
          <w:bCs/>
          <w:b/>
        </w:rPr>
        <w:t xml:space="preserve">Sustainable Material Sourcing:</w:t>
      </w:r>
      <w:r>
        <w:t xml:space="preserve"> </w:t>
      </w:r>
      <w:r>
        <w:t xml:space="preserve">Investigate opportunities for sourcing lower-carbon or recycled content for high-impact materials, particularly for the Silicon Chip and Aluminum Casing, to reduce upstream emissions.</w:t>
      </w:r>
    </w:p>
    <w:p>
      <w:pPr>
        <w:numPr>
          <w:ilvl w:val="0"/>
          <w:numId w:val="1014"/>
        </w:numPr>
        <w:pStyle w:val="Compact"/>
      </w:pPr>
      <w:r>
        <w:rPr>
          <w:bCs/>
          <w:b/>
        </w:rPr>
        <w:t xml:space="preserve">Logistics Efficiency:</w:t>
      </w:r>
      <w:r>
        <w:t xml:space="preserve"> </w:t>
      </w:r>
      <w:r>
        <w:t xml:space="preserve">Optimize transportation routes and modes, prioritizing more efficient options like rail or electric vehicles for regional distribution and last-mile delivery where feasible.</w:t>
      </w:r>
    </w:p>
    <w:p>
      <w:pPr>
        <w:numPr>
          <w:ilvl w:val="0"/>
          <w:numId w:val="1014"/>
        </w:numPr>
        <w:pStyle w:val="Compact"/>
      </w:pPr>
      <w:r>
        <w:rPr>
          <w:bCs/>
          <w:b/>
        </w:rPr>
        <w:t xml:space="preserve">Circular Economy Enhancement:</w:t>
      </w:r>
      <w:r>
        <w:t xml:space="preserve"> </w:t>
      </w:r>
      <w:r>
        <w:t xml:space="preserve">Continue to invest in and expand existing take-back and refurbishment programs (oifpnhrtxr) to maximize product lifespan and material recovery, further increasing avoided emissions at end-of-life.</w:t>
      </w:r>
    </w:p>
    <w:p>
      <w:r>
        <w:pict>
          <v:rect style="width:0;height:1.5pt" o:hralign="center" o:hrstd="t" o:hr="t"/>
        </w:pict>
      </w:r>
    </w:p>
    <w:p>
      <w:pPr>
        <w:pStyle w:val="FirstParagraph"/>
      </w:pPr>
      <w:r>
        <w:t xml:space="preserve">Confidential - Internal Use Only | Page</w:t>
      </w:r>
      <w:r>
        <w:t xml:space="preserve"> </w:t>
      </w:r>
      <w:bookmarkStart w:id="42" w:name="pageNumber"/>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gnkirvwdix</dc:title>
  <dc:creator/>
  <dc:description>High-detail Product Carbon Footprint (PCF) analysis report for gnkirvwdix, conducted by Senior Sustainability Consultant rxuximloov for sdxvdkejit, adhering to GHG Protocol standards and 2026 LSR update.</dc:description>
  <dc:language>en</dc:language>
  <cp:keywords/>
  <dcterms:created xsi:type="dcterms:W3CDTF">2026-05-30T19:23:48Z</dcterms:created>
  <dcterms:modified xsi:type="dcterms:W3CDTF">2026-05-30T19:23:48Z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