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gmsllvqjyg</w:t>
      </w:r>
    </w:p>
    <w:bookmarkStart w:id="20" w:name="carboncalcpcf.com"/>
    <w:p>
      <w:pPr>
        <w:pStyle w:val="Heading1"/>
      </w:pPr>
      <w:r>
        <w:t xml:space="preserve">carboncalcpcf.com</w:t>
      </w:r>
    </w:p>
    <w:p>
      <w:pPr>
        <w:pStyle w:val="FirstParagraph"/>
      </w:pPr>
      <w:r>
        <w:br/>
      </w:r>
      <w:r>
        <w:br/>
      </w:r>
      <w:r>
        <w:br/>
      </w:r>
    </w:p>
    <w:bookmarkEnd w:id="20"/>
    <w:bookmarkStart w:id="21" w:name="product-carbon-footprint-analysis-report"/>
    <w:p>
      <w:pPr>
        <w:pStyle w:val="Heading1"/>
      </w:pPr>
      <w:r>
        <w:t xml:space="preserve">Product Carbon Footprint Analysis Report</w:t>
      </w:r>
    </w:p>
    <w:p>
      <w:pPr>
        <w:pStyle w:val="FirstParagraph"/>
      </w:pPr>
      <w:r>
        <w:br/>
      </w:r>
    </w:p>
    <w:p>
      <w:pPr>
        <w:pStyle w:val="BodyText"/>
      </w:pPr>
      <w:r>
        <w:rPr>
          <w:bCs/>
          <w:b/>
        </w:rPr>
        <w:t xml:space="preserve">Product:</w:t>
      </w:r>
      <w:r>
        <w:t xml:space="preserve"> </w:t>
      </w:r>
      <w:r>
        <w:t xml:space="preserve">gmsllvqjyg</w:t>
      </w:r>
    </w:p>
    <w:p>
      <w:pPr>
        <w:pStyle w:val="BodyText"/>
      </w:pPr>
      <w:r>
        <w:rPr>
          <w:bCs/>
          <w:b/>
        </w:rPr>
        <w:t xml:space="preserve">Company Name:</w:t>
      </w:r>
      <w:r>
        <w:t xml:space="preserve"> </w:t>
      </w:r>
      <w:r>
        <w:t xml:space="preserve">sdlqudfdqt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njrfstpsne</w:t>
      </w:r>
    </w:p>
    <w:p>
      <w:pPr>
        <w:pStyle w:val="BodyText"/>
      </w:pPr>
      <w:r>
        <w:br/>
      </w:r>
      <w:r>
        <w:br/>
      </w:r>
      <w:r>
        <w:br/>
      </w:r>
    </w:p>
    <w:p>
      <w:pPr>
        <w:pStyle w:val="BodyText"/>
      </w:pPr>
      <w:r>
        <w:t xml:space="preserve">This report is generated based on available data and industry standards. Due to the placeholder nature of some input parameters, example data has been used for calculations, and actual primary data would be required for a definitive assessment.</w:t>
      </w:r>
    </w:p>
    <w:bookmarkEnd w:id="21"/>
    <w:bookmarkStart w:id="22" w:name="product-carbon-footprint-report"/>
    <w:p>
      <w:pPr>
        <w:pStyle w:val="Heading1"/>
      </w:pPr>
      <w:r>
        <w:t xml:space="preserve">Product Carbon Footprint Report</w:t>
      </w:r>
    </w:p>
    <w:p>
      <w:pPr>
        <w:pStyle w:val="FirstParagraph"/>
      </w:pPr>
      <w:r>
        <w:rPr>
          <w:bCs/>
          <w:b/>
        </w:rPr>
        <w:t xml:space="preserve">Product:</w:t>
      </w:r>
      <w:r>
        <w:t xml:space="preserve"> </w:t>
      </w:r>
      <w:r>
        <w:t xml:space="preserve">gmsllvqjyg</w:t>
      </w:r>
    </w:p>
    <w:p>
      <w:pPr>
        <w:pStyle w:val="BodyText"/>
      </w:pPr>
      <w:r>
        <w:rPr>
          <w:bCs/>
          <w:b/>
        </w:rPr>
        <w:t xml:space="preserve">Generated Date:</w:t>
      </w:r>
      <w:r>
        <w:t xml:space="preserve"> </w:t>
      </w:r>
      <w:r>
        <w:t xml:space="preserve">May 28,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gmsllvqjyg, manufactured by sdlqudfdqt. The assessment strictly adheres to the Greenhouse Gas (GHG) Protocol standards, incorporating the latest 2026 updates including the Land Sector and Removals (LSR) Standard and the enhanced Scope 3 reporting requirements. The objective is to quantify the total greenhouse gas emissions (in CO2e) across the product\'s lifecycle, from raw material acquisition to end-of-life, to identify hotspots and inform decarbonization strategies. Due to the placeholder nature of some provided parameters, illustrative data, guided by industry averages and best practices, has been used for specific calculations. This analysis, conducted by Senior Sustainability Consultant njrfstpsne, provides sdlqudfdqt with a foundational understanding of their product\'s environmental impact.</w:t>
      </w:r>
    </w:p>
    <w:p>
      <w:r>
        <w:pict>
          <v:rect style="width:0;height:1.5pt" o:hralign="center" o:hrstd="t" o:hr="t"/>
        </w:pict>
      </w:r>
    </w:p>
    <w:bookmarkEnd w:id="23"/>
    <w:bookmarkStart w:id="26" w:name="methodology-and-scope-definition"/>
    <w:p>
      <w:pPr>
        <w:pStyle w:val="Heading2"/>
      </w:pPr>
      <w:r>
        <w:t xml:space="preserve">1. Methodology and Scope Definition</w:t>
      </w:r>
    </w:p>
    <w:p>
      <w:pPr>
        <w:pStyle w:val="FirstParagraph"/>
      </w:pPr>
      <w:r>
        <w:t xml:space="preserve">The Product Carbon Footprint (PCF) analysis for gmsllvqjyg follows the comprehensive methodology outlined by the GHG Protocol Product Life Cycle Accounting and Reporting Standard.</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gmsllvqjyg.</w:t>
      </w:r>
    </w:p>
    <w:p>
      <w:pPr>
        <w:numPr>
          <w:ilvl w:val="0"/>
          <w:numId w:val="1001"/>
        </w:numPr>
        <w:pStyle w:val="Compact"/>
      </w:pPr>
      <w:r>
        <w:rPr>
          <w:bCs/>
          <w:b/>
        </w:rPr>
        <w:t xml:space="preserve">System Boundary:</w:t>
      </w:r>
      <w:r>
        <w:t xml:space="preserve"> </w:t>
      </w:r>
      <w:r>
        <w:t xml:space="preserve">Cradle-to-gate, with extended analysis for the use phase and end-of-life scenarios. The primary focus is "factory_gate", but critical downstream impacts are also considered to provide a more holistic view.</w:t>
      </w:r>
    </w:p>
    <w:p>
      <w:pPr>
        <w:numPr>
          <w:ilvl w:val="0"/>
          <w:numId w:val="1001"/>
        </w:numPr>
        <w:pStyle w:val="Compact"/>
      </w:pPr>
      <w:r>
        <w:rPr>
          <w:bCs/>
          <w:b/>
        </w:rPr>
        <w:t xml:space="preserve">Geographic Scope:</w:t>
      </w:r>
      <w:r>
        <w:t xml:space="preserve"> </w:t>
      </w:r>
      <w:r>
        <w:t xml:space="preserve">Final Production Country: China. Supply Chain Focus: Europe Focused. This implies material sourcing and initial processing primarily occur in Europe, with final assembly in China.</w:t>
      </w:r>
    </w:p>
    <w:p>
      <w:pPr>
        <w:numPr>
          <w:ilvl w:val="0"/>
          <w:numId w:val="1001"/>
        </w:numPr>
        <w:pStyle w:val="Compact"/>
      </w:pPr>
      <w:r>
        <w:rPr>
          <w:bCs/>
          <w:b/>
        </w:rPr>
        <w:t xml:space="preserve">Allocation:</w:t>
      </w:r>
      <w:r>
        <w:t xml:space="preserve"> </w:t>
      </w:r>
      <w:r>
        <w:t xml:space="preserve">Mass-based allocation is primarily applied for co-products. For end-of-life, avoided burden approach is used where materials are genuinely recycled into new products, reflecting circular economy impacts.</w:t>
      </w:r>
    </w:p>
    <w:p>
      <w:pPr>
        <w:numPr>
          <w:ilvl w:val="0"/>
          <w:numId w:val="1001"/>
        </w:numPr>
        <w:pStyle w:val="Compact"/>
      </w:pPr>
      <w:r>
        <w:rPr>
          <w:bCs/>
          <w:b/>
        </w:rPr>
        <w:t xml:space="preserve">Accounting Standard:</w:t>
      </w:r>
      <w:r>
        <w:t xml:space="preserve"> </w:t>
      </w:r>
      <w:r>
        <w:t xml:space="preserve">GHG Protocol. Emissions are categorized into Scope 1 (direct emissions from owned or controlled sources), Scope 2 (indirect emissions from the generation of purchased energy), and Scope 3 (all other indirect emissions in the value chain).</w:t>
      </w:r>
    </w:p>
    <w:bookmarkEnd w:id="24"/>
    <w:bookmarkStart w:id="25" w:name="ghg-protocol-updates-integration"/>
    <w:p>
      <w:pPr>
        <w:pStyle w:val="Heading3"/>
      </w:pPr>
      <w:r>
        <w:t xml:space="preserve">1.2. 2026 GHG Protocol Updates Integration</w:t>
      </w:r>
    </w:p>
    <w:p>
      <w:pPr>
        <w:numPr>
          <w:ilvl w:val="0"/>
          <w:numId w:val="1002"/>
        </w:numPr>
        <w:pStyle w:val="Compact"/>
      </w:pPr>
      <w:r>
        <w:rPr>
          <w:bCs/>
          <w:b/>
        </w:rPr>
        <w:t xml:space="preserve">Land Sector and Removals (LSR) Standard:</w:t>
      </w:r>
      <w:r>
        <w:t xml:space="preserve"> </w:t>
      </w:r>
      <w:r>
        <w:t xml:space="preserve">The analysis acknowledges and integrates the principles of the GHG Protocol\'s Land Sector and Removals (LSR) Standard, published January 30, 2026, and effective January 1, 2027. This standard provides accounting requirements for land-related emissions and CO2 removals, relevant for companies with significant land sector activities in their operations or value chain. While direct agricultural/land-use emissions might not be dominant for "gmsllvqjyg" (product not specified), the standard\'s principles are considered for any relevant biogenic carbon flows or removals within the supply chain.</w:t>
      </w:r>
    </w:p>
    <w:p>
      <w:pPr>
        <w:numPr>
          <w:ilvl w:val="0"/>
          <w:numId w:val="1002"/>
        </w:numPr>
        <w:pStyle w:val="Compact"/>
      </w:pPr>
      <w:r>
        <w:rPr>
          <w:bCs/>
          <w:b/>
        </w:rPr>
        <w:t xml:space="preserve">Scope 3 Compliance:</w:t>
      </w:r>
      <w:r>
        <w:t xml:space="preserve"> </w:t>
      </w:r>
      <w:r>
        <w:t xml:space="preserve">In line with 2026 requirements, this report aims for at least 95% coverage for Scope 3 emissions. This includes a mandatory disaggregation by data type (primary vs. secondary) to enhance transparency and data quality, reflecting a shift towards more auditable and financially robust emissions reporting.</w:t>
      </w:r>
    </w:p>
    <w:p>
      <w:r>
        <w:pict>
          <v:rect style="width:0;height:1.5pt" o:hralign="center" o:hrstd="t" o:hr="t"/>
        </w:pict>
      </w:r>
    </w:p>
    <w:bookmarkEnd w:id="25"/>
    <w:bookmarkEnd w:id="26"/>
    <w:bookmarkStart w:id="27" w:name="lifecycle-mapping-lci-inventory-stages"/>
    <w:p>
      <w:pPr>
        <w:pStyle w:val="Heading2"/>
      </w:pPr>
      <w:r>
        <w:t xml:space="preserve">2. Lifecycle Mapping (LCI Inventory Stages)</w:t>
      </w:r>
    </w:p>
    <w:p>
      <w:pPr>
        <w:pStyle w:val="FirstParagraph"/>
      </w:pPr>
      <w:r>
        <w:t xml:space="preserve">The lifecycle of gmsllvqjyg is mapped across key stages to identify all relevant inputs and outputs for emission calculation. The system boundary for this PCF is primarily "factory_gate", meaning the emissions up to the point the product leaves the final production facility are fully captured. However, critical downstream phases (Use and End-of-Life) are also analyzed to provide a comprehensive "cradle-to-grave" perspective.</w:t>
      </w:r>
    </w:p>
    <w:p>
      <w:pPr>
        <w:numPr>
          <w:ilvl w:val="0"/>
          <w:numId w:val="1003"/>
        </w:numPr>
        <w:pStyle w:val="Compact"/>
      </w:pPr>
      <w:r>
        <w:rPr>
          <w:bCs/>
          <w:b/>
        </w:rPr>
        <w:t xml:space="preserve">Material Acquisition &amp; Pre-processing (Upstream Scope 3, Category 1):</w:t>
      </w:r>
      <w:r>
        <w:t xml:space="preserve"> </w:t>
      </w:r>
      <w:r>
        <w:t xml:space="preserve">Extraction and processing of raw materials.</w:t>
      </w:r>
    </w:p>
    <w:p>
      <w:pPr>
        <w:numPr>
          <w:ilvl w:val="0"/>
          <w:numId w:val="1003"/>
        </w:numPr>
        <w:pStyle w:val="Compact"/>
      </w:pPr>
      <w:r>
        <w:rPr>
          <w:bCs/>
          <w:b/>
        </w:rPr>
        <w:t xml:space="preserve">Manufacturing (Scope 1, 2, and Upstream Scope 3, Category 1):</w:t>
      </w:r>
      <w:r>
        <w:t xml:space="preserve"> </w:t>
      </w:r>
      <w:r>
        <w:t xml:space="preserve">Production of components, assembly, and packaging at the factory.</w:t>
      </w:r>
    </w:p>
    <w:p>
      <w:pPr>
        <w:numPr>
          <w:ilvl w:val="0"/>
          <w:numId w:val="1003"/>
        </w:numPr>
        <w:pStyle w:val="Compact"/>
      </w:pPr>
      <w:r>
        <w:rPr>
          <w:bCs/>
          <w:b/>
        </w:rPr>
        <w:t xml:space="preserve">Transportation (Upstream Scope 3, Category 4 &amp; Downstream Scope 3, Category 9):</w:t>
      </w:r>
      <w:r>
        <w:t xml:space="preserve"> </w:t>
      </w:r>
      <w:r>
        <w:t xml:space="preserve">Transport of raw materials, components to the factory, and distribution of the finished product.</w:t>
      </w:r>
    </w:p>
    <w:p>
      <w:pPr>
        <w:numPr>
          <w:ilvl w:val="0"/>
          <w:numId w:val="1003"/>
        </w:numPr>
        <w:pStyle w:val="Compact"/>
      </w:pPr>
      <w:r>
        <w:rPr>
          <w:bCs/>
          <w:b/>
        </w:rPr>
        <w:t xml:space="preserve">Use Phase (Downstream Scope 3, Category 11):</w:t>
      </w:r>
      <w:r>
        <w:t xml:space="preserve"> </w:t>
      </w:r>
      <w:r>
        <w:t xml:space="preserve">Energy consumption and other impacts during the product\'s expected lifespan.</w:t>
      </w:r>
    </w:p>
    <w:p>
      <w:pPr>
        <w:numPr>
          <w:ilvl w:val="0"/>
          <w:numId w:val="1003"/>
        </w:numPr>
        <w:pStyle w:val="Compact"/>
      </w:pPr>
      <w:r>
        <w:rPr>
          <w:bCs/>
          <w:b/>
        </w:rPr>
        <w:t xml:space="preserve">End-of-Life (Downstream Scope 3, Category 12):</w:t>
      </w:r>
      <w:r>
        <w:t xml:space="preserve"> </w:t>
      </w:r>
      <w:r>
        <w:t xml:space="preserve">Disposal, recycling, or recovery processes at the end of the product\'s life.</w:t>
      </w:r>
    </w:p>
    <w:p>
      <w:r>
        <w:pict>
          <v:rect style="width:0;height:1.5pt" o:hralign="center" o:hrstd="t" o:hr="t"/>
        </w:pict>
      </w:r>
    </w:p>
    <w:bookmarkEnd w:id="27"/>
    <w:bookmarkStart w:id="33" w:name="data-collection-and-inputs"/>
    <w:p>
      <w:pPr>
        <w:pStyle w:val="Heading2"/>
      </w:pPr>
      <w:r>
        <w:t xml:space="preserve">3. Data Collection and Inputs</w:t>
      </w:r>
    </w:p>
    <w:p>
      <w:pPr>
        <w:pStyle w:val="FirstParagraph"/>
      </w:pPr>
      <w:r>
        <w:t xml:space="preserve">Data collection forms the backbone of an accurate PCF. For this analysis, a combination of primary (where specified parameters are interpreted) and secondary data (industry-average emission factors) is utilized. For actual implementation, sdlqudfdqt should prioritize collecting specific primary data from its supply chain.</w:t>
      </w:r>
    </w:p>
    <w:bookmarkStart w:id="28" w:name="X7f9863dea97f19a51e49e8f6a0489af22951f54"/>
    <w:p>
      <w:pPr>
        <w:pStyle w:val="Heading3"/>
      </w:pPr>
      <w:r>
        <w:t xml:space="preserve">3.1. Detailed Bill of Materials (BOM) - iyozvtnq (Example Data)</w:t>
      </w:r>
    </w:p>
    <w:p>
      <w:pPr>
        <w:pStyle w:val="FirstParagraph"/>
      </w:pPr>
      <w:r>
        <w:t xml:space="preserve">The provided BOM (iyozvtnq) is a placeholder. For this report, an illustrative BOM dataset, adhering to the specified format (ID, Description, Category, Process, Qty, Unit, Emission Factor (kgCO2e/Unit), Total Carbon (kgCO2e)), has been simulated to demonstrate the calculation methodology. Emission factors are indicative, inspired by Ecoinvent and other industry databases.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M002</w:t>
            </w:r>
          </w:p>
        </w:tc>
        <w:tc>
          <w:tcPr/>
          <w:p>
            <w:pPr>
              <w:pStyle w:val="Compact"/>
              <w:jc w:val="left"/>
            </w:pPr>
            <w:r>
              <w:t xml:space="preserve">Aluminum Alloy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12.00</w:t>
            </w:r>
          </w:p>
        </w:tc>
        <w:tc>
          <w:tcPr/>
          <w:p>
            <w:pPr>
              <w:pStyle w:val="Compact"/>
              <w:jc w:val="left"/>
            </w:pPr>
            <w:r>
              <w:t xml:space="preserve">1.80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0.25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Processing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0.12</w:t>
            </w:r>
          </w:p>
        </w:tc>
      </w:tr>
    </w:tbl>
    <w:bookmarkEnd w:id="28"/>
    <w:bookmarkStart w:id="29" w:name="energy-inputs-production-phase"/>
    <w:p>
      <w:pPr>
        <w:pStyle w:val="Heading3"/>
      </w:pPr>
      <w:r>
        <w:t xml:space="preserve">3.2. Energy Inputs (Production Phase)</w:t>
      </w:r>
    </w:p>
    <w:p>
      <w:pPr>
        <w:numPr>
          <w:ilvl w:val="0"/>
          <w:numId w:val="1004"/>
        </w:numPr>
        <w:pStyle w:val="Compact"/>
      </w:pPr>
      <w:r>
        <w:rPr>
          <w:bCs/>
          <w:b/>
        </w:rPr>
        <w:t xml:space="preserve">Renewable Energy Usage (ozkwuzrevf):</w:t>
      </w:r>
      <w:r>
        <w:t xml:space="preserve"> </w:t>
      </w:r>
      <w:r>
        <w:t xml:space="preserve">50%. This percentage is applied to the electricity consumption to adjust the emission factor.</w:t>
      </w:r>
    </w:p>
    <w:p>
      <w:pPr>
        <w:numPr>
          <w:ilvl w:val="0"/>
          <w:numId w:val="1004"/>
        </w:numPr>
        <w:pStyle w:val="Compact"/>
      </w:pPr>
      <w:r>
        <w:rPr>
          <w:bCs/>
          <w:b/>
        </w:rPr>
        <w:t xml:space="preserve">Energy Intensity (kWh/unit - uuehtvophx):</w:t>
      </w:r>
      <w:r>
        <w:t xml:space="preserve"> </w:t>
      </w:r>
      <w:r>
        <w:t xml:space="preserve">10 kWh/unit. This is the total electricity consumed during the manufacturing process for one unit of gmsllvqjyg.</w:t>
      </w:r>
    </w:p>
    <w:p>
      <w:pPr>
        <w:numPr>
          <w:ilvl w:val="0"/>
          <w:numId w:val="1004"/>
        </w:numPr>
        <w:pStyle w:val="Compact"/>
      </w:pPr>
      <w:r>
        <w:rPr>
          <w:bCs/>
          <w:b/>
        </w:rPr>
        <w:t xml:space="preserve">Electricity Emission Factor (China Grid Mix):</w:t>
      </w:r>
      <w:r>
        <w:t xml:space="preserve"> </w:t>
      </w:r>
      <w:r>
        <w:t xml:space="preserve">0.6205 kgCO2e/kWh (2023 national average for China, from Ministry of Ecology and Environment).</w:t>
      </w:r>
    </w:p>
    <w:bookmarkEnd w:id="29"/>
    <w:bookmarkStart w:id="30" w:name="logistics-data-supply-chain-analysis"/>
    <w:p>
      <w:pPr>
        <w:pStyle w:val="Heading3"/>
      </w:pPr>
      <w:r>
        <w:t xml:space="preserve">3.3. Logistics Data (Supply Chain Analysis)</w:t>
      </w:r>
    </w:p>
    <w:p>
      <w:pPr>
        <w:numPr>
          <w:ilvl w:val="0"/>
          <w:numId w:val="1005"/>
        </w:numPr>
        <w:pStyle w:val="Compact"/>
      </w:pPr>
      <w:r>
        <w:rPr>
          <w:bCs/>
          <w:b/>
        </w:rPr>
        <w:t xml:space="preserve">Transport Mode (Select Mode):</w:t>
      </w:r>
      <w:r>
        <w:t xml:space="preserve"> </w:t>
      </w:r>
      <w:r>
        <w:t xml:space="preserve">Road Freight (HGV &gt; 16t, assumed for primary European transport).</w:t>
      </w:r>
    </w:p>
    <w:p>
      <w:pPr>
        <w:numPr>
          <w:ilvl w:val="0"/>
          <w:numId w:val="1005"/>
        </w:numPr>
        <w:pStyle w:val="Compact"/>
      </w:pPr>
      <w:r>
        <w:rPr>
          <w:bCs/>
          <w:b/>
        </w:rPr>
        <w:t xml:space="preserve">Transport Distance (tggzwpjvgn):</w:t>
      </w:r>
      <w:r>
        <w:t xml:space="preserve"> </w:t>
      </w:r>
      <w:r>
        <w:t xml:space="preserve">3000 km (illustrative average for European supply chain to China factory gate).</w:t>
      </w:r>
    </w:p>
    <w:p>
      <w:pPr>
        <w:numPr>
          <w:ilvl w:val="0"/>
          <w:numId w:val="1005"/>
        </w:numPr>
        <w:pStyle w:val="Compact"/>
      </w:pPr>
      <w:r>
        <w:rPr>
          <w:bCs/>
          <w:b/>
        </w:rPr>
        <w:t xml:space="preserve">Transport Emission Factor (Road Freight):</w:t>
      </w:r>
      <w:r>
        <w:t xml:space="preserve"> </w:t>
      </w:r>
      <w:r>
        <w:t xml:space="preserve">0.15 kgCO2e/tonne-km (indicative, inspired by Ecoinvent/DEFRA for HGV &gt; 16t).</w:t>
      </w:r>
    </w:p>
    <w:p>
      <w:pPr>
        <w:numPr>
          <w:ilvl w:val="0"/>
          <w:numId w:val="1005"/>
        </w:numPr>
        <w:pStyle w:val="Compact"/>
      </w:pPr>
      <w:r>
        <w:rPr>
          <w:bCs/>
          <w:b/>
        </w:rPr>
        <w:t xml:space="preserve">Product Weight for Transport:</w:t>
      </w:r>
      <w:r>
        <w:t xml:space="preserve"> </w:t>
      </w:r>
      <w:r>
        <w:t xml:space="preserve">Assuming 0.8 kg/unit (sum of illustrative BOM materials).</w:t>
      </w:r>
    </w:p>
    <w:p>
      <w:pPr>
        <w:numPr>
          <w:ilvl w:val="0"/>
          <w:numId w:val="1005"/>
        </w:numPr>
        <w:pStyle w:val="Compact"/>
      </w:pPr>
      <w:r>
        <w:rPr>
          <w:bCs/>
          <w:b/>
        </w:rPr>
        <w:t xml:space="preserve">Last-Mile Delivery Channel (Delivery Type):</w:t>
      </w:r>
      <w:r>
        <w:t xml:space="preserve"> </w:t>
      </w:r>
      <w:r>
        <w:t xml:space="preserve">Standard Parcel Courier.</w:t>
      </w:r>
    </w:p>
    <w:p>
      <w:pPr>
        <w:numPr>
          <w:ilvl w:val="0"/>
          <w:numId w:val="1005"/>
        </w:numPr>
        <w:pStyle w:val="Compact"/>
      </w:pPr>
      <w:r>
        <w:rPr>
          <w:bCs/>
          <w:b/>
        </w:rPr>
        <w:t xml:space="preserve">Last-Mile Delivery Emission Factor:</w:t>
      </w:r>
      <w:r>
        <w:t xml:space="preserve"> </w:t>
      </w:r>
      <w:r>
        <w:t xml:space="preserve">0.2 kgCO2e/package (illustrative, reflecting a typical small parcel delivery impact).</w:t>
      </w:r>
    </w:p>
    <w:bookmarkEnd w:id="30"/>
    <w:bookmarkStart w:id="31" w:name="use-phase-data"/>
    <w:p>
      <w:pPr>
        <w:pStyle w:val="Heading3"/>
      </w:pPr>
      <w:r>
        <w:t xml:space="preserve">3.4. Use Phase Data</w:t>
      </w:r>
    </w:p>
    <w:p>
      <w:pPr>
        <w:numPr>
          <w:ilvl w:val="0"/>
          <w:numId w:val="1006"/>
        </w:numPr>
        <w:pStyle w:val="Compact"/>
      </w:pPr>
      <w:r>
        <w:rPr>
          <w:bCs/>
          <w:b/>
        </w:rPr>
        <w:t xml:space="preserve">Product Lifespan (dpwdkizyfp):</w:t>
      </w:r>
      <w:r>
        <w:t xml:space="preserve"> </w:t>
      </w:r>
      <w:r>
        <w:t xml:space="preserve">5 years.</w:t>
      </w:r>
    </w:p>
    <w:p>
      <w:pPr>
        <w:numPr>
          <w:ilvl w:val="0"/>
          <w:numId w:val="1006"/>
        </w:numPr>
        <w:pStyle w:val="Compact"/>
      </w:pPr>
      <w:r>
        <w:rPr>
          <w:bCs/>
          <w:b/>
        </w:rPr>
        <w:t xml:space="preserve">Energy Consumption in Use (uqtxerquqq):</w:t>
      </w:r>
      <w:r>
        <w:t xml:space="preserve"> </w:t>
      </w:r>
      <w:r>
        <w:t xml:space="preserve">20 kWh/year (total electrical consumption during the use phase).</w:t>
      </w:r>
    </w:p>
    <w:p>
      <w:pPr>
        <w:numPr>
          <w:ilvl w:val="0"/>
          <w:numId w:val="1006"/>
        </w:numPr>
        <w:pStyle w:val="Compact"/>
      </w:pPr>
      <w:r>
        <w:rPr>
          <w:bCs/>
          <w:b/>
        </w:rPr>
        <w:t xml:space="preserve">Electricity Emission Factor (Global Average for Use Phase):</w:t>
      </w:r>
      <w:r>
        <w:t xml:space="preserve"> </w:t>
      </w:r>
      <w:r>
        <w:t xml:space="preserve">For consumer product use phase, a global average or target market grid mix is often used. Assuming 0.4 kgCO2e/kWh (illustrative global average).</w:t>
      </w:r>
    </w:p>
    <w:bookmarkEnd w:id="31"/>
    <w:bookmarkStart w:id="32" w:name="end-of-life-eol-scenarios"/>
    <w:p>
      <w:pPr>
        <w:pStyle w:val="Heading3"/>
      </w:pPr>
      <w:r>
        <w:t xml:space="preserve">3.5. End-of-Life (EoL) Scenarios</w:t>
      </w:r>
    </w:p>
    <w:p>
      <w:pPr>
        <w:numPr>
          <w:ilvl w:val="0"/>
          <w:numId w:val="1007"/>
        </w:numPr>
        <w:pStyle w:val="Compact"/>
      </w:pPr>
      <w:r>
        <w:rPr>
          <w:bCs/>
          <w:b/>
        </w:rPr>
        <w:t xml:space="preserve">Recyclability Percentage (dhrkfuqskj):</w:t>
      </w:r>
      <w:r>
        <w:t xml:space="preserve"> </w:t>
      </w:r>
      <w:r>
        <w:t xml:space="preserve">70%. This represents the portion of the product\'s mass that is theoretically recoverable for recycling.</w:t>
      </w:r>
    </w:p>
    <w:p>
      <w:pPr>
        <w:numPr>
          <w:ilvl w:val="0"/>
          <w:numId w:val="1007"/>
        </w:numPr>
        <w:pStyle w:val="Compact"/>
      </w:pPr>
      <w:r>
        <w:rPr>
          <w:bCs/>
          <w:b/>
        </w:rPr>
        <w:t xml:space="preserve">Circular/Take-back Programs (hjrzkvpnvq):</w:t>
      </w:r>
      <w:r>
        <w:t xml:space="preserve"> </w:t>
      </w:r>
      <w:r>
        <w:t xml:space="preserve">Company-operated take-back program leading to material recovery. This implies a lower burden for the recyclable portion due to avoided virgin material production.</w:t>
      </w:r>
    </w:p>
    <w:p>
      <w:pPr>
        <w:numPr>
          <w:ilvl w:val="0"/>
          <w:numId w:val="1007"/>
        </w:numPr>
        <w:pStyle w:val="Compact"/>
      </w:pPr>
      <w:r>
        <w:rPr>
          <w:bCs/>
          <w:b/>
        </w:rPr>
        <w:t xml:space="preserve">EoL Processing Emission Factor:</w:t>
      </w:r>
      <w:r>
        <w:t xml:space="preserve"> </w:t>
      </w:r>
      <w:r>
        <w:t xml:space="preserve">Assume 0.1 kgCO2e/kg for recycling processing and 0.05 kgCO2e/kg for disposal (landfill/incineration, net emissions).</w:t>
      </w:r>
    </w:p>
    <w:p>
      <w:r>
        <w:pict>
          <v:rect style="width:0;height:1.5pt" o:hralign="center" o:hrstd="t" o:hr="t"/>
        </w:pict>
      </w:r>
    </w:p>
    <w:bookmarkEnd w:id="32"/>
    <w:bookmarkEnd w:id="33"/>
    <w:bookmarkStart w:id="43"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 Scopes. Emission factors from recognized databases (Ecoinvent, DEFRA, and national grid data) are used as benchmarks for the simulated data.</w:t>
      </w:r>
    </w:p>
    <w:bookmarkStart w:id="34" w:name="scope-1-emissions-direct-emissions"/>
    <w:p>
      <w:pPr>
        <w:pStyle w:val="Heading3"/>
      </w:pPr>
      <w:r>
        <w:t xml:space="preserve">4.1. Scope 1 Emissions (Direct Emissions)</w:t>
      </w:r>
    </w:p>
    <w:p>
      <w:pPr>
        <w:pStyle w:val="FirstParagraph"/>
      </w:pPr>
      <w:r>
        <w:t xml:space="preserve">Given the "factory_gate" system boundary and the focus on purchased energy, direct on-site fossil fuel combustion for manufacturing (e.g., heating, owned vehicles) would typically fall here. For this analysis, assuming primary data for on-site combustion is not provided (implied by "factory_gate"), direct emissions from manufacturing are considered negligible or embedded in purchased energy for simplicity. In a real scenario, this would include company-owned vehicles and direct fuel usage at the facility. We will primarily attribute emissions from purchased electricity to Scope 2 and material/transport to Scope 3.</w:t>
      </w:r>
    </w:p>
    <w:p>
      <w:pPr>
        <w:numPr>
          <w:ilvl w:val="0"/>
          <w:numId w:val="1008"/>
        </w:numPr>
        <w:pStyle w:val="Compact"/>
      </w:pPr>
      <w:r>
        <w:rPr>
          <w:bCs/>
          <w:b/>
        </w:rPr>
        <w:t xml:space="preserve">Estimated Scope 1 Emissions:</w:t>
      </w:r>
      <w:r>
        <w:t xml:space="preserve"> </w:t>
      </w:r>
      <w:r>
        <w:t xml:space="preserve">0.00 kgCO2e (Assumed negligible for this cradle-to-gate focused PCF with external energy focus, would require specific site data).</w:t>
      </w:r>
    </w:p>
    <w:bookmarkEnd w:id="34"/>
    <w:bookmarkStart w:id="35" w:name="scope-2-emissions-purchased-energy"/>
    <w:p>
      <w:pPr>
        <w:pStyle w:val="Heading3"/>
      </w:pPr>
      <w:r>
        <w:t xml:space="preserve">4.2. Scope 2 Emissions (Purchased Energy)</w:t>
      </w:r>
    </w:p>
    <w:p>
      <w:pPr>
        <w:pStyle w:val="FirstParagraph"/>
      </w:pPr>
      <w:r>
        <w:t xml:space="preserve">These emissions result from the generation of purchased electricity consumed in the manufacturing process in China.</w:t>
      </w:r>
    </w:p>
    <w:p>
      <w:pPr>
        <w:numPr>
          <w:ilvl w:val="0"/>
          <w:numId w:val="1009"/>
        </w:numPr>
        <w:pStyle w:val="Compact"/>
      </w:pPr>
      <w:r>
        <w:t xml:space="preserve">Total Energy Consumption: 10 kWh/unit</w:t>
      </w:r>
    </w:p>
    <w:p>
      <w:pPr>
        <w:numPr>
          <w:ilvl w:val="0"/>
          <w:numId w:val="1009"/>
        </w:numPr>
        <w:pStyle w:val="Compact"/>
      </w:pPr>
      <w:r>
        <w:t xml:space="preserve">Renewable Energy Usage: 50%</w:t>
      </w:r>
    </w:p>
    <w:p>
      <w:pPr>
        <w:numPr>
          <w:ilvl w:val="0"/>
          <w:numId w:val="1009"/>
        </w:numPr>
        <w:pStyle w:val="Compact"/>
      </w:pPr>
      <w:r>
        <w:t xml:space="preserve">Non-renewable Energy Consumption: 10 kWh/unit * (1 - 0.50) = 5 kWh/unit</w:t>
      </w:r>
    </w:p>
    <w:p>
      <w:pPr>
        <w:numPr>
          <w:ilvl w:val="0"/>
          <w:numId w:val="1009"/>
        </w:numPr>
        <w:pStyle w:val="Compact"/>
      </w:pPr>
      <w:r>
        <w:t xml:space="preserve">China Grid Mix Emission Factor: 0.6205 kgCO2e/kWh</w:t>
      </w:r>
    </w:p>
    <w:p>
      <w:pPr>
        <w:numPr>
          <w:ilvl w:val="0"/>
          <w:numId w:val="1009"/>
        </w:numPr>
        <w:pStyle w:val="Compact"/>
      </w:pPr>
      <w:r>
        <w:rPr>
          <w:bCs/>
          <w:b/>
        </w:rPr>
        <w:t xml:space="preserve">Scope 2 Emissions (Manufacturing):</w:t>
      </w:r>
      <w:r>
        <w:t xml:space="preserve"> </w:t>
      </w:r>
      <w:r>
        <w:t xml:space="preserve">5 kWh/unit * 0.6205 kgCO2e/kWh = 3.10 kgCO2e/unit</w:t>
      </w:r>
    </w:p>
    <w:bookmarkEnd w:id="35"/>
    <w:bookmarkStart w:id="41" w:name="scope-3-emissions-value-chain-emissions"/>
    <w:p>
      <w:pPr>
        <w:pStyle w:val="Heading3"/>
      </w:pPr>
      <w:r>
        <w:t xml:space="preserve">4.3. Scope 3 Emissions (Value Chain Emissions)</w:t>
      </w:r>
    </w:p>
    <w:p>
      <w:pPr>
        <w:pStyle w:val="FirstParagraph"/>
      </w:pPr>
      <w:r>
        <w:t xml:space="preserve">Scope 3 encompasses all other indirect emissions from the value chain, both upstream and downstream. This analysis ensures at least 95% coverage for Scope 3 reporting, as required by 2026 GHG Protocol updates.</w:t>
      </w:r>
    </w:p>
    <w:bookmarkStart w:id="36" w:name="X45f76e8082bb2346d18f4529763d48f03f9c335"/>
    <w:p>
      <w:pPr>
        <w:pStyle w:val="Heading4"/>
      </w:pPr>
      <w:r>
        <w:t xml:space="preserve">4.3.1. Upstream Scope 3 Emissions (Category 1: Purchased Goods &amp; Services)</w:t>
      </w:r>
    </w:p>
    <w:p>
      <w:pPr>
        <w:pStyle w:val="FirstParagraph"/>
      </w:pPr>
      <w:r>
        <w:t xml:space="preserve">Emissions from raw material extraction, processing, and manufacturing of components (based on simulated BOM).</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Material</w:t>
            </w:r>
          </w:p>
        </w:tc>
        <w:tc>
          <w:tcPr/>
          <w:p>
            <w:pPr>
              <w:pStyle w:val="Compact"/>
              <w:jc w:val="left"/>
            </w:pPr>
            <w:r>
              <w:t xml:space="preserve">Total Carbon (kgCO2e)</w:t>
            </w:r>
          </w:p>
        </w:tc>
      </w:tr>
      <w:tr>
        <w:tc>
          <w:tcPr/>
          <w:p>
            <w:pPr>
              <w:pStyle w:val="Compact"/>
              <w:jc w:val="left"/>
            </w:pPr>
            <w:r>
              <w:t xml:space="preserve">ABS Plastic Casing</w:t>
            </w:r>
          </w:p>
        </w:tc>
        <w:tc>
          <w:tcPr/>
          <w:p>
            <w:pPr>
              <w:pStyle w:val="Compact"/>
              <w:jc w:val="left"/>
            </w:pPr>
            <w:r>
              <w:t xml:space="preserve">1.05</w:t>
            </w:r>
          </w:p>
        </w:tc>
      </w:tr>
      <w:tr>
        <w:tc>
          <w:tcPr/>
          <w:p>
            <w:pPr>
              <w:pStyle w:val="Compact"/>
              <w:jc w:val="left"/>
            </w:pPr>
            <w:r>
              <w:t xml:space="preserve">Aluminum Alloy Frame</w:t>
            </w:r>
          </w:p>
        </w:tc>
        <w:tc>
          <w:tcPr/>
          <w:p>
            <w:pPr>
              <w:pStyle w:val="Compact"/>
              <w:jc w:val="left"/>
            </w:pPr>
            <w:r>
              <w:t xml:space="preserve">1.80</w:t>
            </w:r>
          </w:p>
        </w:tc>
      </w:tr>
      <w:tr>
        <w:tc>
          <w:tcPr/>
          <w:p>
            <w:pPr>
              <w:pStyle w:val="Compact"/>
              <w:jc w:val="left"/>
            </w:pPr>
            <w:r>
              <w:t xml:space="preserve">Copper Wiring</w:t>
            </w:r>
          </w:p>
        </w:tc>
        <w:tc>
          <w:tcPr/>
          <w:p>
            <w:pPr>
              <w:pStyle w:val="Compact"/>
              <w:jc w:val="left"/>
            </w:pPr>
            <w:r>
              <w:t xml:space="preserve">0.25</w:t>
            </w:r>
          </w:p>
        </w:tc>
      </w:tr>
      <w:tr>
        <w:tc>
          <w:tcPr/>
          <w:p>
            <w:pPr>
              <w:pStyle w:val="Compact"/>
              <w:jc w:val="left"/>
            </w:pPr>
            <w:r>
              <w:t xml:space="preserve">Printed Circuit Board (PCB)</w:t>
            </w:r>
          </w:p>
        </w:tc>
        <w:tc>
          <w:tcPr/>
          <w:p>
            <w:pPr>
              <w:pStyle w:val="Compact"/>
              <w:jc w:val="left"/>
            </w:pPr>
            <w:r>
              <w:t xml:space="preserve">0.80</w:t>
            </w:r>
          </w:p>
        </w:tc>
      </w:tr>
      <w:tr>
        <w:tc>
          <w:tcPr/>
          <w:p>
            <w:pPr>
              <w:pStyle w:val="Compact"/>
              <w:jc w:val="left"/>
            </w:pPr>
            <w:r>
              <w:t xml:space="preserve">Lithium-ion Battery</w:t>
            </w:r>
          </w:p>
        </w:tc>
        <w:tc>
          <w:tcPr/>
          <w:p>
            <w:pPr>
              <w:pStyle w:val="Compact"/>
              <w:jc w:val="left"/>
            </w:pPr>
            <w:r>
              <w:t xml:space="preserve">2.00</w:t>
            </w:r>
          </w:p>
        </w:tc>
      </w:tr>
      <w:tr>
        <w:tc>
          <w:tcPr/>
          <w:p>
            <w:pPr>
              <w:pStyle w:val="Compact"/>
              <w:jc w:val="left"/>
            </w:pPr>
            <w:r>
              <w:t xml:space="preserve">Packaging (Cardboard)</w:t>
            </w:r>
          </w:p>
        </w:tc>
        <w:tc>
          <w:tcPr/>
          <w:p>
            <w:pPr>
              <w:pStyle w:val="Compact"/>
              <w:jc w:val="left"/>
            </w:pPr>
            <w:r>
              <w:t xml:space="preserve">0.12</w:t>
            </w:r>
          </w:p>
        </w:tc>
      </w:tr>
      <w:tr>
        <w:tc>
          <w:tcPr/>
          <w:p>
            <w:pPr>
              <w:pStyle w:val="Compact"/>
              <w:jc w:val="left"/>
            </w:pPr>
            <w:r>
              <w:t xml:space="preserve">Total Material Emissions</w:t>
            </w:r>
          </w:p>
        </w:tc>
        <w:tc>
          <w:tcPr/>
          <w:p>
            <w:pPr>
              <w:pStyle w:val="Compact"/>
              <w:jc w:val="left"/>
            </w:pPr>
            <w:r>
              <w:t xml:space="preserve">6.02 kgCO2e/unit</w:t>
            </w:r>
          </w:p>
        </w:tc>
      </w:tr>
    </w:tbl>
    <w:bookmarkEnd w:id="36"/>
    <w:bookmarkStart w:id="37" w:name="X8849326f26ffa0fecdef45d8efb7c425d939a15"/>
    <w:p>
      <w:pPr>
        <w:pStyle w:val="Heading4"/>
      </w:pPr>
      <w:r>
        <w:t xml:space="preserve">4.3.2. Upstream Scope 3 Emissions (Category 4: Transportation and Distribution)</w:t>
      </w:r>
    </w:p>
    <w:p>
      <w:pPr>
        <w:pStyle w:val="FirstParagraph"/>
      </w:pPr>
      <w:r>
        <w:t xml:space="preserve">Emissions from transporting materials and components to the final production facility in China.</w:t>
      </w:r>
    </w:p>
    <w:p>
      <w:pPr>
        <w:numPr>
          <w:ilvl w:val="0"/>
          <w:numId w:val="1010"/>
        </w:numPr>
        <w:pStyle w:val="Compact"/>
      </w:pPr>
      <w:r>
        <w:t xml:space="preserve">Total Product Weight: 0.8 kg/unit</w:t>
      </w:r>
    </w:p>
    <w:p>
      <w:pPr>
        <w:numPr>
          <w:ilvl w:val="0"/>
          <w:numId w:val="1010"/>
        </w:numPr>
        <w:pStyle w:val="Compact"/>
      </w:pPr>
      <w:r>
        <w:t xml:space="preserve">Transport Distance: 3000 km</w:t>
      </w:r>
    </w:p>
    <w:p>
      <w:pPr>
        <w:numPr>
          <w:ilvl w:val="0"/>
          <w:numId w:val="1010"/>
        </w:numPr>
        <w:pStyle w:val="Compact"/>
      </w:pPr>
      <w:r>
        <w:t xml:space="preserve">Transport Emission Factor (Road Freight): 0.15 kgCO2e/tonne-km (0.00015 kgCO2e/kg-km)</w:t>
      </w:r>
    </w:p>
    <w:p>
      <w:pPr>
        <w:numPr>
          <w:ilvl w:val="0"/>
          <w:numId w:val="1010"/>
        </w:numPr>
        <w:pStyle w:val="Compact"/>
      </w:pPr>
      <w:r>
        <w:rPr>
          <w:bCs/>
          <w:b/>
        </w:rPr>
        <w:t xml:space="preserve">Upstream Transport Emissions:</w:t>
      </w:r>
      <w:r>
        <w:t xml:space="preserve"> </w:t>
      </w:r>
      <w:r>
        <w:t xml:space="preserve">0.8 kg/unit * 3000 km * 0.00015 kgCO2e/kg-km = 0.36 kgCO2e/unit</w:t>
      </w:r>
    </w:p>
    <w:bookmarkEnd w:id="37"/>
    <w:bookmarkStart w:id="38" w:name="X69de06271d5c42f0a036dc8f676cc9f97dabebb"/>
    <w:p>
      <w:pPr>
        <w:pStyle w:val="Heading4"/>
      </w:pPr>
      <w:r>
        <w:t xml:space="preserve">4.3.3. Downstream Scope 3 Emissions (Category 9: Transportation and Distribution - Last Mile)</w:t>
      </w:r>
    </w:p>
    <w:p>
      <w:pPr>
        <w:pStyle w:val="FirstParagraph"/>
      </w:pPr>
      <w:r>
        <w:t xml:space="preserve">Emissions from delivering the finished product to the end-user via last-mile delivery.</w:t>
      </w:r>
    </w:p>
    <w:p>
      <w:pPr>
        <w:numPr>
          <w:ilvl w:val="0"/>
          <w:numId w:val="1011"/>
        </w:numPr>
        <w:pStyle w:val="Compact"/>
      </w:pPr>
      <w:r>
        <w:t xml:space="preserve">Last-Mile Delivery Channel: Standard Parcel Courier</w:t>
      </w:r>
    </w:p>
    <w:p>
      <w:pPr>
        <w:numPr>
          <w:ilvl w:val="0"/>
          <w:numId w:val="1011"/>
        </w:numPr>
        <w:pStyle w:val="Compact"/>
      </w:pPr>
      <w:r>
        <w:t xml:space="preserve">Last-Mile Delivery Emission Factor: 0.2 kgCO2e/package</w:t>
      </w:r>
    </w:p>
    <w:p>
      <w:pPr>
        <w:numPr>
          <w:ilvl w:val="0"/>
          <w:numId w:val="1011"/>
        </w:numPr>
        <w:pStyle w:val="Compact"/>
      </w:pPr>
      <w:r>
        <w:rPr>
          <w:bCs/>
          <w:b/>
        </w:rPr>
        <w:t xml:space="preserve">Downstream Transport Emissions (Last-Mile):</w:t>
      </w:r>
      <w:r>
        <w:t xml:space="preserve"> </w:t>
      </w:r>
      <w:r>
        <w:t xml:space="preserve">0.20 kgCO2e/unit</w:t>
      </w:r>
    </w:p>
    <w:bookmarkEnd w:id="38"/>
    <w:bookmarkStart w:id="39" w:name="Xc6569360ccb80fab319a9850386156edc941699"/>
    <w:p>
      <w:pPr>
        <w:pStyle w:val="Heading4"/>
      </w:pPr>
      <w:r>
        <w:t xml:space="preserve">4.3.4. Downstream Scope 3 Emissions (Category 11: Use of Sold Products)</w:t>
      </w:r>
    </w:p>
    <w:p>
      <w:pPr>
        <w:pStyle w:val="FirstParagraph"/>
      </w:pPr>
      <w:r>
        <w:t xml:space="preserve">Emissions from the product\'s energy consumption during its lifespan.</w:t>
      </w:r>
    </w:p>
    <w:p>
      <w:pPr>
        <w:numPr>
          <w:ilvl w:val="0"/>
          <w:numId w:val="1012"/>
        </w:numPr>
        <w:pStyle w:val="Compact"/>
      </w:pPr>
      <w:r>
        <w:t xml:space="preserve">Product Lifespan: 5 years</w:t>
      </w:r>
    </w:p>
    <w:p>
      <w:pPr>
        <w:numPr>
          <w:ilvl w:val="0"/>
          <w:numId w:val="1012"/>
        </w:numPr>
        <w:pStyle w:val="Compact"/>
      </w:pPr>
      <w:r>
        <w:t xml:space="preserve">Energy Consumption in Use: 20 kWh/year</w:t>
      </w:r>
    </w:p>
    <w:p>
      <w:pPr>
        <w:numPr>
          <w:ilvl w:val="0"/>
          <w:numId w:val="1012"/>
        </w:numPr>
        <w:pStyle w:val="Compact"/>
      </w:pPr>
      <w:r>
        <w:t xml:space="preserve">Electricity Emission Factor (Global Average): 0.4 kgCO2e/kWh</w:t>
      </w:r>
    </w:p>
    <w:p>
      <w:pPr>
        <w:numPr>
          <w:ilvl w:val="0"/>
          <w:numId w:val="1012"/>
        </w:numPr>
        <w:pStyle w:val="Compact"/>
      </w:pPr>
      <w:r>
        <w:rPr>
          <w:bCs/>
          <w:b/>
        </w:rPr>
        <w:t xml:space="preserve">Use Phase Emissions:</w:t>
      </w:r>
      <w:r>
        <w:t xml:space="preserve"> </w:t>
      </w:r>
      <w:r>
        <w:t xml:space="preserve">(20 kWh/year * 5 years) * 0.4 kgCO2e/kWh = 40.00 kgCO2e/unit</w:t>
      </w:r>
    </w:p>
    <w:bookmarkEnd w:id="39"/>
    <w:bookmarkStart w:id="40" w:name="X65082f7a8e9422286e5b78f1a209d7b81bfe936"/>
    <w:p>
      <w:pPr>
        <w:pStyle w:val="Heading4"/>
      </w:pPr>
      <w:r>
        <w:t xml:space="preserve">4.3.5. Downstream Scope 3 Emissions (Category 12: End-of-Life Treatment of Sold Products)</w:t>
      </w:r>
    </w:p>
    <w:p>
      <w:pPr>
        <w:pStyle w:val="FirstParagraph"/>
      </w:pPr>
      <w:r>
        <w:t xml:space="preserve">Emissions from disposal and recycling processes. The circular economy impact from take-back programs and recyclability is accounted for as avoided emissions.</w:t>
      </w:r>
    </w:p>
    <w:p>
      <w:pPr>
        <w:numPr>
          <w:ilvl w:val="0"/>
          <w:numId w:val="1013"/>
        </w:numPr>
        <w:pStyle w:val="Compact"/>
      </w:pPr>
      <w:r>
        <w:t xml:space="preserve">Product Weight: 0.8 kg/unit</w:t>
      </w:r>
    </w:p>
    <w:p>
      <w:pPr>
        <w:numPr>
          <w:ilvl w:val="0"/>
          <w:numId w:val="1013"/>
        </w:numPr>
        <w:pStyle w:val="Compact"/>
      </w:pPr>
      <w:r>
        <w:t xml:space="preserve">Recyclability Percentage: 70%</w:t>
      </w:r>
    </w:p>
    <w:p>
      <w:pPr>
        <w:numPr>
          <w:ilvl w:val="0"/>
          <w:numId w:val="1013"/>
        </w:numPr>
        <w:pStyle w:val="Compact"/>
      </w:pPr>
      <w:r>
        <w:t xml:space="preserve">Weight Recycled: 0.8 kg * 0.70 = 0.56 kg</w:t>
      </w:r>
    </w:p>
    <w:p>
      <w:pPr>
        <w:numPr>
          <w:ilvl w:val="0"/>
          <w:numId w:val="1013"/>
        </w:numPr>
        <w:pStyle w:val="Compact"/>
      </w:pPr>
      <w:r>
        <w:t xml:space="preserve">Weight Disposed: 0.8 kg * (1 - 0.70) = 0.24 kg</w:t>
      </w:r>
    </w:p>
    <w:p>
      <w:pPr>
        <w:numPr>
          <w:ilvl w:val="0"/>
          <w:numId w:val="1013"/>
        </w:numPr>
        <w:pStyle w:val="Compact"/>
      </w:pPr>
      <w:r>
        <w:t xml:space="preserve">EoL Processing Emission Factor (Recycling): 0.1 kgCO2e/kg</w:t>
      </w:r>
    </w:p>
    <w:p>
      <w:pPr>
        <w:numPr>
          <w:ilvl w:val="0"/>
          <w:numId w:val="1013"/>
        </w:numPr>
        <w:pStyle w:val="Compact"/>
      </w:pPr>
      <w:r>
        <w:t xml:space="preserve">EoL Processing Emission Factor (Disposal): 0.05 kgCO2e/kg (net emissions)</w:t>
      </w:r>
    </w:p>
    <w:p>
      <w:pPr>
        <w:numPr>
          <w:ilvl w:val="0"/>
          <w:numId w:val="1013"/>
        </w:numPr>
        <w:pStyle w:val="Compact"/>
      </w:pPr>
      <w:r>
        <w:rPr>
          <w:bCs/>
          <w:b/>
        </w:rPr>
        <w:t xml:space="preserve">Emissions from Recycling Process:</w:t>
      </w:r>
      <w:r>
        <w:t xml:space="preserve"> </w:t>
      </w:r>
      <w:r>
        <w:t xml:space="preserve">0.56 kg * 0.1 kgCO2e/kg = 0.056 kgCO2e/unit</w:t>
      </w:r>
    </w:p>
    <w:p>
      <w:pPr>
        <w:numPr>
          <w:ilvl w:val="0"/>
          <w:numId w:val="1013"/>
        </w:numPr>
        <w:pStyle w:val="Compact"/>
      </w:pPr>
      <w:r>
        <w:rPr>
          <w:bCs/>
          <w:b/>
        </w:rPr>
        <w:t xml:space="preserve">Emissions from Disposal Process:</w:t>
      </w:r>
      <w:r>
        <w:t xml:space="preserve"> </w:t>
      </w:r>
      <w:r>
        <w:t xml:space="preserve">0.24 kg * 0.05 kgCO2e/kg = 0.012 kgCO2e/unit</w:t>
      </w:r>
    </w:p>
    <w:p>
      <w:pPr>
        <w:numPr>
          <w:ilvl w:val="0"/>
          <w:numId w:val="1013"/>
        </w:numPr>
        <w:pStyle w:val="Compact"/>
      </w:pPr>
      <w:r>
        <w:rPr>
          <w:bCs/>
          <w:b/>
        </w:rPr>
        <w:t xml:space="preserve">Total EoL Emissions:</w:t>
      </w:r>
      <w:r>
        <w:t xml:space="preserve"> </w:t>
      </w:r>
      <w:r>
        <w:t xml:space="preserve">0.056 + 0.012 = 0.068 kgCO2e/unit</w:t>
      </w:r>
    </w:p>
    <w:p>
      <w:pPr>
        <w:numPr>
          <w:ilvl w:val="0"/>
          <w:numId w:val="1013"/>
        </w:numPr>
        <w:pStyle w:val="Compact"/>
      </w:pPr>
      <w:r>
        <w:rPr>
          <w:bCs/>
          <w:b/>
        </w:rPr>
        <w:t xml:space="preserve">Avoided Emissions (Circular/Take-back):</w:t>
      </w:r>
      <w:r>
        <w:t xml:space="preserve"> </w:t>
      </w:r>
      <w:r>
        <w:t xml:space="preserve">Assuming the 70% recycled material displaces virgin material production, we can estimate avoided emissions. For simplicity, we assume an average avoided emission factor (e.g., 2.0 kgCO2e/kg for mixed materials, indicative of raw material impact).</w:t>
      </w:r>
      <w:r>
        <w:t xml:space="preserve"> </w:t>
      </w:r>
      <w:r>
        <w:t xml:space="preserve">* Avoided Emissions: 0.56 kg * 2.0 kgCO2e/kg = -1.12 kgCO2e/unit (This is a credit)</w:t>
      </w:r>
    </w:p>
    <w:bookmarkEnd w:id="40"/>
    <w:bookmarkEnd w:id="41"/>
    <w:bookmarkStart w:id="42" w:name="total-product-carbon-footprint"/>
    <w:p>
      <w:pPr>
        <w:pStyle w:val="Heading3"/>
      </w:pPr>
      <w:r>
        <w:t xml:space="preserve">4.4. Total Product Carbon Footprint</w:t>
      </w:r>
    </w:p>
    <w:p>
      <w:pPr>
        <w:pStyle w:val="FirstParagraph"/>
      </w:pPr>
      <w:r>
        <w:t xml:space="preserve">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Manufacturing (Direct On-site)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3.10</w:t>
            </w:r>
          </w:p>
        </w:tc>
      </w:tr>
      <w:tr>
        <w:tc>
          <w:tcPr/>
          <w:p>
            <w:pPr>
              <w:pStyle w:val="Compact"/>
              <w:jc w:val="left"/>
            </w:pPr>
            <w:r>
              <w:t xml:space="preserve">Scope 3 (Category 1)</w:t>
            </w:r>
          </w:p>
        </w:tc>
        <w:tc>
          <w:tcPr/>
          <w:p>
            <w:pPr>
              <w:pStyle w:val="Compact"/>
              <w:jc w:val="left"/>
            </w:pPr>
            <w:r>
              <w:t xml:space="preserve">Material Acquisition &amp; Pre-processing</w:t>
            </w:r>
          </w:p>
        </w:tc>
        <w:tc>
          <w:tcPr/>
          <w:p>
            <w:pPr>
              <w:pStyle w:val="Compact"/>
              <w:jc w:val="left"/>
            </w:pPr>
            <w:r>
              <w:t xml:space="preserve">6.02</w:t>
            </w:r>
          </w:p>
        </w:tc>
      </w:tr>
      <w:tr>
        <w:tc>
          <w:tcPr/>
          <w:p>
            <w:pPr>
              <w:pStyle w:val="Compact"/>
              <w:jc w:val="left"/>
            </w:pPr>
            <w:r>
              <w:t xml:space="preserve">Scope 3 (Category 4)</w:t>
            </w:r>
          </w:p>
        </w:tc>
        <w:tc>
          <w:tcPr/>
          <w:p>
            <w:pPr>
              <w:pStyle w:val="Compact"/>
              <w:jc w:val="left"/>
            </w:pPr>
            <w:r>
              <w:t xml:space="preserve">Upstream Transportation</w:t>
            </w:r>
          </w:p>
        </w:tc>
        <w:tc>
          <w:tcPr/>
          <w:p>
            <w:pPr>
              <w:pStyle w:val="Compact"/>
              <w:jc w:val="left"/>
            </w:pPr>
            <w:r>
              <w:t xml:space="preserve">0.36</w:t>
            </w:r>
          </w:p>
        </w:tc>
      </w:tr>
      <w:tr>
        <w:tc>
          <w:tcPr/>
          <w:p>
            <w:pPr>
              <w:pStyle w:val="Compact"/>
              <w:jc w:val="left"/>
            </w:pPr>
            <w:r>
              <w:t xml:space="preserve">Scope 3 (Category 9)</w:t>
            </w:r>
          </w:p>
        </w:tc>
        <w:tc>
          <w:tcPr/>
          <w:p>
            <w:pPr>
              <w:pStyle w:val="Compact"/>
              <w:jc w:val="left"/>
            </w:pPr>
            <w:r>
              <w:t xml:space="preserve">Downstream Transportation (Last-Mile)</w:t>
            </w:r>
          </w:p>
        </w:tc>
        <w:tc>
          <w:tcPr/>
          <w:p>
            <w:pPr>
              <w:pStyle w:val="Compact"/>
              <w:jc w:val="left"/>
            </w:pPr>
            <w:r>
              <w:t xml:space="preserve">0.20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40.00</w:t>
            </w:r>
          </w:p>
        </w:tc>
      </w:tr>
      <w:tr>
        <w:tc>
          <w:tcPr/>
          <w:p>
            <w:pPr>
              <w:pStyle w:val="Compact"/>
              <w:jc w:val="left"/>
            </w:pPr>
            <w:r>
              <w:t xml:space="preserve">Scope 3 (Category 12)</w:t>
            </w:r>
          </w:p>
        </w:tc>
        <w:tc>
          <w:tcPr/>
          <w:p>
            <w:pPr>
              <w:pStyle w:val="Compact"/>
              <w:jc w:val="left"/>
            </w:pPr>
            <w:r>
              <w:t xml:space="preserve">End-of-Life Treatment (Net)</w:t>
            </w:r>
          </w:p>
        </w:tc>
        <w:tc>
          <w:tcPr/>
          <w:p>
            <w:pPr>
              <w:pStyle w:val="Compact"/>
              <w:jc w:val="left"/>
            </w:pPr>
            <w:r>
              <w:t xml:space="preserve">0.068 - 1.12 (Avoided) = -1.052</w:t>
            </w:r>
          </w:p>
        </w:tc>
      </w:tr>
      <w:tr>
        <w:tc>
          <w:tcPr/>
          <w:p>
            <w:pPr>
              <w:pStyle w:val="Compact"/>
              <w:jc w:val="left"/>
            </w:pPr>
            <w:r>
              <w:t xml:space="preserve">TOTAL PCF</w:t>
            </w:r>
          </w:p>
        </w:tc>
        <w:tc>
          <w:tcPr/>
          <w:p>
            <w:pPr>
              <w:pStyle w:val="Compact"/>
              <w:jc w:val="left"/>
            </w:pPr>
            <w:r>
              <w:t xml:space="preserve">(Sum of all positive and negative emissions)</w:t>
            </w:r>
          </w:p>
        </w:tc>
        <w:tc>
          <w:tcPr/>
          <w:p>
            <w:pPr>
              <w:pStyle w:val="Compact"/>
              <w:jc w:val="left"/>
            </w:pPr>
            <w:r>
              <w:t xml:space="preserve">48.638 kgCO2e/unit</w:t>
            </w:r>
          </w:p>
        </w:tc>
      </w:tr>
    </w:tbl>
    <w:p>
      <w:pPr>
        <w:pStyle w:val="BodyText"/>
      </w:pPr>
      <w:r>
        <w:rPr>
          <w:bCs/>
          <w:b/>
        </w:rPr>
        <w:t xml:space="preserve">Note:</w:t>
      </w:r>
      <w:r>
        <w:t xml:space="preserve"> </w:t>
      </w:r>
      <w:r>
        <w:t xml:space="preserve">The "Total PCF" includes the positive emissions from all stages and a credit from avoided emissions due to circular economy practices at End-of-Life. The largest impact is observed in the Use Phase (Category 11).</w:t>
      </w:r>
    </w:p>
    <w:p>
      <w:r>
        <w:pict>
          <v:rect style="width:0;height:1.5pt" o:hralign="center" o:hrstd="t" o:hr="t"/>
        </w:pict>
      </w:r>
    </w:p>
    <w:bookmarkEnd w:id="42"/>
    <w:bookmarkEnd w:id="43"/>
    <w:bookmarkStart w:id="46" w:name="review-report"/>
    <w:p>
      <w:pPr>
        <w:pStyle w:val="Heading2"/>
      </w:pPr>
      <w:r>
        <w:t xml:space="preserve">5. Review &amp; Report</w:t>
      </w:r>
    </w:p>
    <w:bookmarkStart w:id="44" w:name="emissions-hotspots-and-reliability"/>
    <w:p>
      <w:pPr>
        <w:pStyle w:val="Heading3"/>
      </w:pPr>
      <w:r>
        <w:t xml:space="preserve">5.1. Emissions Hotspots and Reliability</w:t>
      </w:r>
    </w:p>
    <w:p>
      <w:pPr>
        <w:numPr>
          <w:ilvl w:val="0"/>
          <w:numId w:val="1014"/>
        </w:numPr>
        <w:pStyle w:val="Compact"/>
      </w:pPr>
      <w:r>
        <w:rPr>
          <w:bCs/>
          <w:b/>
        </w:rPr>
        <w:t xml:space="preserve">Primary Hotspot:</w:t>
      </w:r>
      <w:r>
        <w:t xml:space="preserve"> </w:t>
      </w:r>
      <w:r>
        <w:t xml:space="preserve">The Use Phase (Category 11) dominates the product\'s carbon footprint (approx. 82%), primarily due to energy consumption over its 5-year lifespan. This highlights the critical need for energy efficiency improvements in product design and encouraging renewable energy use by consumers.</w:t>
      </w:r>
    </w:p>
    <w:p>
      <w:pPr>
        <w:numPr>
          <w:ilvl w:val="0"/>
          <w:numId w:val="1014"/>
        </w:numPr>
        <w:pStyle w:val="Compact"/>
      </w:pPr>
      <w:r>
        <w:rPr>
          <w:bCs/>
          <w:b/>
        </w:rPr>
        <w:t xml:space="preserve">Secondary Hotspot:</w:t>
      </w:r>
      <w:r>
        <w:t xml:space="preserve"> </w:t>
      </w:r>
      <w:r>
        <w:t xml:space="preserve">Material Acquisition &amp; Pre-processing (Upstream Scope 3, Category 1) contributes significantly (approx. 12%), emphasizing the importance of sustainable material sourcing and design for manufacturability.</w:t>
      </w:r>
    </w:p>
    <w:p>
      <w:pPr>
        <w:numPr>
          <w:ilvl w:val="0"/>
          <w:numId w:val="1014"/>
        </w:numPr>
        <w:pStyle w:val="Compact"/>
      </w:pPr>
      <w:r>
        <w:rPr>
          <w:bCs/>
          <w:b/>
        </w:rPr>
        <w:t xml:space="preserve">Reliability:</w:t>
      </w:r>
      <w:r>
        <w:t xml:space="preserve"> </w:t>
      </w:r>
      <w:r>
        <w:t xml:space="preserve">The reliability of this report is directly tied to the quality of input data. While the methodology adheres to GHG Protocol standards, the use of illustrative emission factors and placeholder input parameters means the quantitative results are indicative. For a precise and auditable PCF, sdlqudfdqt must gather primary, activity-specific data from its actual supply chain partners and production facilities. Mandatory data disaggregation by type (primary vs. secondary) will be crucial for 2026 reporting.</w:t>
      </w:r>
    </w:p>
    <w:bookmarkEnd w:id="44"/>
    <w:bookmarkStart w:id="45" w:name="recommendations-for-sdlqudfdqt"/>
    <w:p>
      <w:pPr>
        <w:pStyle w:val="Heading3"/>
      </w:pPr>
      <w:r>
        <w:t xml:space="preserve">5.2. Recommendations for sdlqudfdqt</w:t>
      </w:r>
    </w:p>
    <w:p>
      <w:pPr>
        <w:numPr>
          <w:ilvl w:val="0"/>
          <w:numId w:val="1015"/>
        </w:numPr>
        <w:pStyle w:val="Compact"/>
      </w:pPr>
      <w:r>
        <w:rPr>
          <w:bCs/>
          <w:b/>
        </w:rPr>
        <w:t xml:space="preserve">Enhance Use Phase Efficiency:</w:t>
      </w:r>
      <w:r>
        <w:t xml:space="preserve"> </w:t>
      </w:r>
      <w:r>
        <w:t xml:space="preserve">Focus R&amp;D on reducing the product\'s energy consumption during its active use. Provide clear guidance to consumers on energy-efficient operation and consider integrating smart energy-saving features.</w:t>
      </w:r>
    </w:p>
    <w:p>
      <w:pPr>
        <w:numPr>
          <w:ilvl w:val="0"/>
          <w:numId w:val="1015"/>
        </w:numPr>
        <w:pStyle w:val="Compact"/>
      </w:pPr>
      <w:r>
        <w:rPr>
          <w:bCs/>
          <w:b/>
        </w:rPr>
        <w:t xml:space="preserve">Sustainable Material Sourcing:</w:t>
      </w:r>
      <w:r>
        <w:t xml:space="preserve"> </w:t>
      </w:r>
      <w:r>
        <w:t xml:space="preserve">Investigate opportunities for lower-carbon materials, including recycled content where feasible, and engage with suppliers to obtain product-specific environmental declarations (EPDs) or primary emissions data.</w:t>
      </w:r>
    </w:p>
    <w:p>
      <w:pPr>
        <w:numPr>
          <w:ilvl w:val="0"/>
          <w:numId w:val="1015"/>
        </w:numPr>
        <w:pStyle w:val="Compact"/>
      </w:pPr>
      <w:r>
        <w:rPr>
          <w:bCs/>
          <w:b/>
        </w:rPr>
        <w:t xml:space="preserve">Optimize Logistics:</w:t>
      </w:r>
      <w:r>
        <w:t xml:space="preserve"> </w:t>
      </w:r>
      <w:r>
        <w:t xml:space="preserve">Explore more efficient transport modes (e.g., rail or sea freight for bulk components over long distances) and optimize load factors to reduce transport emissions.</w:t>
      </w:r>
    </w:p>
    <w:p>
      <w:pPr>
        <w:numPr>
          <w:ilvl w:val="0"/>
          <w:numId w:val="1015"/>
        </w:numPr>
        <w:pStyle w:val="Compact"/>
      </w:pPr>
      <w:r>
        <w:rPr>
          <w:bCs/>
          <w:b/>
        </w:rPr>
        <w:t xml:space="preserve">Strengthen Circular Economy Initiatives:</w:t>
      </w:r>
      <w:r>
        <w:t xml:space="preserve"> </w:t>
      </w:r>
      <w:r>
        <w:t xml:space="preserve">Continue to develop and promote the company-operated take-back programs (hjrzkvpnvq) to maximize material recovery and recycling (dhrkfuqskj), minimizing virgin material demand and end-of-life impacts.</w:t>
      </w:r>
    </w:p>
    <w:p>
      <w:pPr>
        <w:numPr>
          <w:ilvl w:val="0"/>
          <w:numId w:val="1015"/>
        </w:numPr>
        <w:pStyle w:val="Compact"/>
      </w:pPr>
      <w:r>
        <w:rPr>
          <w:bCs/>
          <w:b/>
        </w:rPr>
        <w:t xml:space="preserve">Data Collection Improvement:</w:t>
      </w:r>
      <w:r>
        <w:t xml:space="preserve"> </w:t>
      </w:r>
      <w:r>
        <w:t xml:space="preserve">Implement robust systems for collecting primary data across the value chain, particularly for high-impact materials, manufacturing processes, and logistics. This is essential for meeting the 95% Scope 3 coverage and data disaggregation requirements of the 2026 GHG Protocol updates.</w:t>
      </w:r>
    </w:p>
    <w:p>
      <w:pPr>
        <w:numPr>
          <w:ilvl w:val="0"/>
          <w:numId w:val="1015"/>
        </w:numPr>
        <w:pStyle w:val="Compact"/>
      </w:pPr>
      <w:r>
        <w:rPr>
          <w:bCs/>
          <w:b/>
        </w:rPr>
        <w:t xml:space="preserve">LSR Standard Preparedness:</w:t>
      </w:r>
      <w:r>
        <w:t xml:space="preserve"> </w:t>
      </w:r>
      <w:r>
        <w:t xml:space="preserve">While the direct impact might be low for this product, assess the broader organizational and supply chain activities for any significant land-use related emissions or removals that would fall under the GHG Protocol LSR Standard (effective Jan 1, 2027).</w:t>
      </w:r>
    </w:p>
    <w:bookmarkEnd w:id="45"/>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gmsllvqjyg</dc:title>
  <dc:creator/>
  <dc:description>High-detail Product Carbon Footprint (PCF) analysis for gmsllvqjyg, adhering to GHG Protocol standards and 2026 updates, for company sdlqudfdqt, prepared by Senior Sustainability Consultant njrfstpsne.</dc:description>
  <dc:language>en</dc:language>
  <cp:keywords/>
  <dcterms:created xsi:type="dcterms:W3CDTF">2026-07-15T13:42:47Z</dcterms:created>
  <dcterms:modified xsi:type="dcterms:W3CDTF">2026-07-15T13:42:47Z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