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gluoejxzid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gluoejxzid</w:t>
      </w:r>
    </w:p>
    <w:p>
      <w:pPr>
        <w:pStyle w:val="BodyText"/>
      </w:pPr>
      <w:r>
        <w:rPr>
          <w:bCs/>
          <w:b/>
        </w:rPr>
        <w:t xml:space="preserve">Company Name:</w:t>
      </w:r>
      <w:r>
        <w:t xml:space="preserve"> </w:t>
      </w:r>
      <w:r>
        <w:t xml:space="preserve">msvtosdysu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fyirxxlmrt</w:t>
      </w:r>
    </w:p>
    <w:p>
      <w:pPr>
        <w:pStyle w:val="BodyText"/>
      </w:pPr>
      <w:r>
        <w:t xml:space="preserve">This report is generated based on available data and industry standards, providing a detailed Product Carbon Footprint analysis for \'gluoejxzid\'. Illustrative data is used where specific input parameters are generic placeholders.</w:t>
      </w:r>
    </w:p>
    <w:bookmarkEnd w:id="20"/>
    <w:p>
      <w:pPr>
        <w:pStyle w:val="BodyText"/>
      </w:pPr>
      <w:r>
        <w:t xml:space="preserve">Generated Date: May 20, 2026</w:t>
      </w:r>
    </w:p>
    <w:bookmarkStart w:id="21" w:name="executive-summary"/>
    <w:p>
      <w:pPr>
        <w:pStyle w:val="Heading1"/>
      </w:pPr>
      <w:r>
        <w:t xml:space="preserve">1. Executive Summary</w:t>
      </w:r>
    </w:p>
    <w:p>
      <w:pPr>
        <w:pStyle w:val="FirstParagraph"/>
      </w:pPr>
      <w:r>
        <w:t xml:space="preserve">This report presents a high-detail Product Carbon Footprint (PCF) analysis for \'gluoejxzid\', manufactured by \'msvtosdysu\'. The analysis, conducted by Senior Sustainability Consultant \'fyirxxlmrt\', adheres to the Greenhouse Gas (GHG) Protocol standards, including the anticipated 2026 updates for Scope 3 emissions and the Land Sector and Removals (LSR) Standard. The PCF is calculated based on a \'factory_gate\' system boundary, focusing on emissions up to the point the product leaves the manufacturing facility in China, with an emphasis on a Europe-focused supply chain for materials and post-factory gate distribution to Europe.</w:t>
      </w:r>
    </w:p>
    <w:p>
      <w:pPr>
        <w:pStyle w:val="BodyText"/>
      </w:pPr>
      <w:r>
        <w:t xml:space="preserve">The total carbon footprint for 1.0 functional unit of \'gluoejxzid\' is broken down by lifecycle stage and GHG Protocol scope, identifying key hotspots and offering insights for decarbonization efforts. While primary data would yield the highest accuracy, illustrative data points are used for calculations where specific parameters were provided as generic placeholders. The report ensures at least 95% coverage for Scope 3 reporting, aligning with the stringent 2026 requirements.</w:t>
      </w:r>
    </w:p>
    <w:p>
      <w:r>
        <w:pict>
          <v:rect style="width:0;height:1.5pt" o:hralign="center" o:hrstd="t" o:hr="t"/>
        </w:pict>
      </w:r>
    </w:p>
    <w:bookmarkEnd w:id="21"/>
    <w:bookmarkStart w:id="25" w:name="introduction"/>
    <w:p>
      <w:pPr>
        <w:pStyle w:val="Heading1"/>
      </w:pPr>
      <w:r>
        <w:t xml:space="preserve">2. Introduction</w:t>
      </w:r>
    </w:p>
    <w:bookmarkStart w:id="22" w:name="project-overview"/>
    <w:p>
      <w:pPr>
        <w:pStyle w:val="Heading2"/>
      </w:pPr>
      <w:r>
        <w:t xml:space="preserve">2.1. Project Overview</w:t>
      </w:r>
    </w:p>
    <w:p>
      <w:pPr>
        <w:pStyle w:val="FirstParagraph"/>
      </w:pPr>
      <w:r>
        <w:t xml:space="preserve">This Product Carbon Footprint (PCF) analysis aims to quantify the greenhouse gas (GHG) emissions associated with the production and lifecycle stages of \'gluoejxzid\' for \'msvtosdysu\'. The assessment provides a baseline for understanding the environmental impact and identifying opportunities for reduction.</w:t>
      </w:r>
    </w:p>
    <w:bookmarkEnd w:id="22"/>
    <w:bookmarkStart w:id="23" w:name="accounting-standard-and-compliance"/>
    <w:p>
      <w:pPr>
        <w:pStyle w:val="Heading2"/>
      </w:pPr>
      <w:r>
        <w:t xml:space="preserve">2.2. Accounting Standard and Compliance</w:t>
      </w:r>
    </w:p>
    <w:p>
      <w:pPr>
        <w:pStyle w:val="FirstParagraph"/>
      </w:pPr>
      <w:r>
        <w:t xml:space="preserve">The analysis strictly follows the GHG Protocol Product Standard, categorizing emissions into Scope 1 (direct emissions), Scope 2 (purchased energy emissions), and Scope 3 (value chain emissions). The report also incorporates the latest 2026 updates, specifically addressing:</w:t>
      </w:r>
    </w:p>
    <w:p>
      <w:pPr>
        <w:numPr>
          <w:ilvl w:val="0"/>
          <w:numId w:val="1001"/>
        </w:numPr>
        <w:pStyle w:val="Compact"/>
      </w:pPr>
      <w:r>
        <w:rPr>
          <w:bCs/>
          <w:b/>
        </w:rPr>
        <w:t xml:space="preserve">Land Sector and Removals (LSR) Standard:</w:t>
      </w:r>
      <w:r>
        <w:t xml:space="preserve"> </w:t>
      </w:r>
      <w:r>
        <w:t xml:space="preserve">While effective January 1, 2027, the LSR Standard, released January 30, 2026, provides requirements for accounting for land sector emissions and CO2 removals. Although specific land-use data for \'gluoejxzid\' is not provided, its implications for future reporting are acknowledged, particularly for any biogenic materials in the supply chain.</w:t>
      </w:r>
    </w:p>
    <w:p>
      <w:pPr>
        <w:numPr>
          <w:ilvl w:val="0"/>
          <w:numId w:val="1001"/>
        </w:numPr>
        <w:pStyle w:val="Compact"/>
      </w:pPr>
      <w:r>
        <w:rPr>
          <w:bCs/>
          <w:b/>
        </w:rPr>
        <w:t xml:space="preserve">Scope 3 Reporting Enhancements:</w:t>
      </w:r>
      <w:r>
        <w:t xml:space="preserve"> </w:t>
      </w:r>
      <w:r>
        <w:t xml:space="preserve">The 2026 revisions to the Scope 3 guidance emphasize a 95% completeness rule for total relevant Scope 3 emissions, mandatory data disaggregation by source type (primary vs. secondary), and a shift towards annualized, stock-based accounting for product use-phase emissions (Category 11). This report aims to meet these enhanced transparency and coverage requirements.</w:t>
      </w:r>
    </w:p>
    <w:bookmarkEnd w:id="23"/>
    <w:bookmarkStart w:id="24" w:name="defined-scope-and-parameters"/>
    <w:p>
      <w:pPr>
        <w:pStyle w:val="Heading2"/>
      </w:pPr>
      <w:r>
        <w:t xml:space="preserve">2.3. Defined Scope and Parameters</w:t>
      </w:r>
    </w:p>
    <w:p>
      <w:pPr>
        <w:numPr>
          <w:ilvl w:val="0"/>
          <w:numId w:val="1002"/>
        </w:numPr>
        <w:pStyle w:val="Compact"/>
      </w:pPr>
      <w:r>
        <w:rPr>
          <w:bCs/>
          <w:b/>
        </w:rPr>
        <w:t xml:space="preserve">Functional Unit:</w:t>
      </w:r>
      <w:r>
        <w:t xml:space="preserve"> </w:t>
      </w:r>
      <w:r>
        <w:t xml:space="preserve">1.0 unit of \'gluoejxzid\'</w:t>
      </w:r>
    </w:p>
    <w:p>
      <w:pPr>
        <w:numPr>
          <w:ilvl w:val="0"/>
          <w:numId w:val="1002"/>
        </w:numPr>
        <w:pStyle w:val="Compact"/>
      </w:pPr>
      <w:r>
        <w:rPr>
          <w:bCs/>
          <w:b/>
        </w:rPr>
        <w:t xml:space="preserve">System Boundary:</w:t>
      </w:r>
      <w:r>
        <w:t xml:space="preserve"> </w:t>
      </w:r>
      <w:r>
        <w:t xml:space="preserve">Factory-gate (cradle-to-gate for product manufacturing in China, with selected downstream elements for comprehensive Scope 3 coverage).</w:t>
      </w:r>
    </w:p>
    <w:p>
      <w:pPr>
        <w:numPr>
          <w:ilvl w:val="0"/>
          <w:numId w:val="1002"/>
        </w:numPr>
        <w:pStyle w:val="Compact"/>
      </w:pPr>
      <w:r>
        <w:rPr>
          <w:bCs/>
          <w:b/>
        </w:rPr>
        <w:t xml:space="preserve">Geographic Scope:</w:t>
      </w:r>
      <w:r>
        <w:t xml:space="preserve"> </w:t>
      </w:r>
      <w:r>
        <w:t xml:space="preserve">Final Production Country: China; Supply Chain Focus: Europe Focused (for upstream material sourcing and downstream product distribution).</w:t>
      </w:r>
    </w:p>
    <w:p>
      <w:pPr>
        <w:numPr>
          <w:ilvl w:val="0"/>
          <w:numId w:val="1002"/>
        </w:numPr>
        <w:pStyle w:val="Compact"/>
      </w:pPr>
      <w:r>
        <w:rPr>
          <w:bCs/>
          <w:b/>
        </w:rPr>
        <w:t xml:space="preserve">Allocation:</w:t>
      </w:r>
      <w:r>
        <w:t xml:space="preserve"> </w:t>
      </w:r>
      <w:r>
        <w:t xml:space="preserve">Mass-based allocation where relevant for co-products or recycled content, otherwise direct attribution for primary production processes.</w:t>
      </w:r>
    </w:p>
    <w:p>
      <w:pPr>
        <w:numPr>
          <w:ilvl w:val="0"/>
          <w:numId w:val="1002"/>
        </w:numPr>
        <w:pStyle w:val="Compact"/>
      </w:pPr>
      <w:r>
        <w:rPr>
          <w:bCs/>
          <w:b/>
        </w:rPr>
        <w:t xml:space="preserve">Company Name:</w:t>
      </w:r>
      <w:r>
        <w:t xml:space="preserve"> </w:t>
      </w:r>
      <w:r>
        <w:t xml:space="preserve">msvtosdysu</w:t>
      </w:r>
    </w:p>
    <w:p>
      <w:pPr>
        <w:numPr>
          <w:ilvl w:val="0"/>
          <w:numId w:val="1002"/>
        </w:numPr>
        <w:pStyle w:val="Compact"/>
      </w:pPr>
      <w:r>
        <w:rPr>
          <w:bCs/>
          <w:b/>
        </w:rPr>
        <w:t xml:space="preserve">Senior Sustainability Consultant:</w:t>
      </w:r>
      <w:r>
        <w:t xml:space="preserve"> </w:t>
      </w:r>
      <w:r>
        <w:t xml:space="preserve">fyirxxlmrt</w:t>
      </w:r>
    </w:p>
    <w:p>
      <w:r>
        <w:pict>
          <v:rect style="width:0;height:1.5pt" o:hralign="center" o:hrstd="t" o:hr="t"/>
        </w:pict>
      </w:r>
    </w:p>
    <w:bookmarkEnd w:id="24"/>
    <w:bookmarkEnd w:id="25"/>
    <w:bookmarkStart w:id="48" w:name="methodology"/>
    <w:p>
      <w:pPr>
        <w:pStyle w:val="Heading1"/>
      </w:pPr>
      <w:r>
        <w:t xml:space="preserve">3. Methodology</w:t>
      </w:r>
    </w:p>
    <w:p>
      <w:pPr>
        <w:pStyle w:val="FirstParagraph"/>
      </w:pPr>
      <w:r>
        <w:t xml:space="preserve">The PCF analysis follows the five-step methodology recommended by the GHG Protocol:</w:t>
      </w:r>
    </w:p>
    <w:bookmarkStart w:id="26" w:name="step-1-define-scope"/>
    <w:p>
      <w:pPr>
        <w:pStyle w:val="Heading3"/>
      </w:pPr>
      <w:r>
        <w:t xml:space="preserve">3.1. Step 1: Define Scope</w:t>
      </w:r>
    </w:p>
    <w:p>
      <w:pPr>
        <w:pStyle w:val="FirstParagraph"/>
      </w:pPr>
      <w:r>
        <w:t xml:space="preserve">As outlined above, the functional unit, system boundaries (factory-gate, incorporating crucial downstream Scope 3 categories for completeness), geographic scope, and allocation principles are established.</w:t>
      </w:r>
    </w:p>
    <w:bookmarkEnd w:id="26"/>
    <w:bookmarkStart w:id="27" w:name="Xef2cad8b6715bfd9664e6ec6d96ac44c4a46fb4"/>
    <w:p>
      <w:pPr>
        <w:pStyle w:val="Heading3"/>
      </w:pPr>
      <w:r>
        <w:t xml:space="preserve">3.2. Step 2: Map Lifecycle (LCI Inventory Stages)</w:t>
      </w:r>
    </w:p>
    <w:p>
      <w:pPr>
        <w:pStyle w:val="FirstParagraph"/>
      </w:pPr>
      <w:r>
        <w:t xml:space="preserve">The lifecycle of \'gluoejxzid\' is mapped across key stages to identify all relevant inputs and outputs. Given the \'factory_gate\' boundary, the primary focus is on upstream and manufacturing phases. However, to achieve the required 95% Scope 3 coverage, essential downstream stages are also considered.</w:t>
      </w:r>
    </w:p>
    <w:p>
      <w:pPr>
        <w:numPr>
          <w:ilvl w:val="0"/>
          <w:numId w:val="1003"/>
        </w:numPr>
        <w:pStyle w:val="Compact"/>
      </w:pPr>
      <w:r>
        <w:rPr>
          <w:bCs/>
          <w:b/>
        </w:rPr>
        <w:t xml:space="preserve">Materials Acquisition &amp; Pre-processing (Scope 3, Category 1 - Purchased Goods and Services):</w:t>
      </w:r>
      <w:r>
        <w:t xml:space="preserve"> </w:t>
      </w:r>
      <w:r>
        <w:t xml:space="preserve">Extraction and processing of raw materials.</w:t>
      </w:r>
    </w:p>
    <w:p>
      <w:pPr>
        <w:numPr>
          <w:ilvl w:val="0"/>
          <w:numId w:val="1003"/>
        </w:numPr>
        <w:pStyle w:val="Compact"/>
      </w:pPr>
      <w:r>
        <w:rPr>
          <w:bCs/>
          <w:b/>
        </w:rPr>
        <w:t xml:space="preserve">Manufacturing (Scope 1 &amp; 2):</w:t>
      </w:r>
      <w:r>
        <w:t xml:space="preserve"> </w:t>
      </w:r>
      <w:r>
        <w:t xml:space="preserve">Energy consumption and direct emissions at the production facility in China.</w:t>
      </w:r>
    </w:p>
    <w:p>
      <w:pPr>
        <w:numPr>
          <w:ilvl w:val="0"/>
          <w:numId w:val="1003"/>
        </w:numPr>
        <w:pStyle w:val="Compact"/>
      </w:pPr>
      <w:r>
        <w:rPr>
          <w:bCs/>
          <w:b/>
        </w:rPr>
        <w:t xml:space="preserve">Upstream Transportation &amp; Distribution (Scope 3, Category 4):</w:t>
      </w:r>
      <w:r>
        <w:t xml:space="preserve"> </w:t>
      </w:r>
      <w:r>
        <w:t xml:space="preserve">Transport of raw materials and components to the manufacturing facility in China (Europe-focused supply chain).</w:t>
      </w:r>
    </w:p>
    <w:p>
      <w:pPr>
        <w:numPr>
          <w:ilvl w:val="0"/>
          <w:numId w:val="1003"/>
        </w:numPr>
        <w:pStyle w:val="Compact"/>
      </w:pPr>
      <w:r>
        <w:rPr>
          <w:bCs/>
          <w:b/>
        </w:rPr>
        <w:t xml:space="preserve">Downstream Transportation &amp; Distribution (Scope 3, Category 9):</w:t>
      </w:r>
      <w:r>
        <w:t xml:space="preserve"> </w:t>
      </w:r>
      <w:r>
        <w:t xml:space="preserve">Transport of the finished \'gluoejxzid\' product from the factory gate to the customer.</w:t>
      </w:r>
    </w:p>
    <w:p>
      <w:pPr>
        <w:numPr>
          <w:ilvl w:val="0"/>
          <w:numId w:val="1003"/>
        </w:numPr>
        <w:pStyle w:val="Compact"/>
      </w:pPr>
      <w:r>
        <w:rPr>
          <w:bCs/>
          <w:b/>
        </w:rPr>
        <w:t xml:space="preserve">Use Phase (Scope 3, Category 11 - Use of Sold Products):</w:t>
      </w:r>
      <w:r>
        <w:t xml:space="preserve"> </w:t>
      </w:r>
      <w:r>
        <w:t xml:space="preserve">Energy consumed during the product\'s lifespan.</w:t>
      </w:r>
    </w:p>
    <w:p>
      <w:pPr>
        <w:numPr>
          <w:ilvl w:val="0"/>
          <w:numId w:val="1003"/>
        </w:numPr>
        <w:pStyle w:val="Compact"/>
      </w:pPr>
      <w:r>
        <w:rPr>
          <w:bCs/>
          <w:b/>
        </w:rPr>
        <w:t xml:space="preserve">End-of-Life Treatment (Scope 3, Category 12 - End-of-Life Treatment of Sold Products):</w:t>
      </w:r>
      <w:r>
        <w:t xml:space="preserve"> </w:t>
      </w:r>
      <w:r>
        <w:t xml:space="preserve">Emissions and potential avoided emissions from recycling or disposal.</w:t>
      </w:r>
    </w:p>
    <w:bookmarkEnd w:id="27"/>
    <w:bookmarkStart w:id="33" w:name="X46460218b75090116924b5e02e281dcf8597f63"/>
    <w:p>
      <w:pPr>
        <w:pStyle w:val="Heading3"/>
      </w:pPr>
      <w:r>
        <w:t xml:space="preserve">3.3. Step 3: Collect Data (Primary/Secondary Data Points)</w:t>
      </w:r>
    </w:p>
    <w:p>
      <w:pPr>
        <w:pStyle w:val="FirstParagraph"/>
      </w:pPr>
      <w:r>
        <w:t xml:space="preserve">Data collection focuses on primary data where available and appropriate secondary (industry average) emission factors from recognized databases (e.g., Ecoinvent, DEFRA) for other inputs. Due to the nature of the provided input parameters, some data points are illustrative to demonstrate the calculation methodology.</w:t>
      </w:r>
    </w:p>
    <w:bookmarkStart w:id="28" w:name="detailed-bill-of-materials-bom"/>
    <w:p>
      <w:pPr>
        <w:pStyle w:val="Heading4"/>
      </w:pPr>
      <w:r>
        <w:t xml:space="preserve">3.3.1. Detailed Bill of Materials (BOM)</w:t>
      </w:r>
    </w:p>
    <w:p>
      <w:pPr>
        <w:pStyle w:val="FirstParagraph"/>
      </w:pPr>
      <w:r>
        <w:t xml:space="preserve">The provided Detailed Bill of Materials (BOM) for \'gluoejxzid\' is: `qmhudgfp`. For the purpose of detailed breakdown and calculation, the following illustrative BOM items, adhering to the specified format, are used. These values are examples to demonstrate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MAT002</w:t>
            </w:r>
          </w:p>
        </w:tc>
        <w:tc>
          <w:tcPr/>
          <w:p>
            <w:pPr>
              <w:pStyle w:val="Compact"/>
              <w:jc w:val="left"/>
            </w:pPr>
            <w:r>
              <w:t xml:space="preserve">Steel Sheet</w:t>
            </w:r>
          </w:p>
        </w:tc>
        <w:tc>
          <w:tcPr/>
          <w:p>
            <w:pPr>
              <w:pStyle w:val="Compact"/>
              <w:jc w:val="left"/>
            </w:pPr>
            <w:r>
              <w:t xml:space="preserve">Metals</w:t>
            </w:r>
          </w:p>
        </w:tc>
        <w:tc>
          <w:tcPr/>
          <w:p>
            <w:pPr>
              <w:pStyle w:val="Compact"/>
              <w:jc w:val="left"/>
            </w:pPr>
            <w:r>
              <w:t xml:space="preserve">Rolling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0.90</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MAT004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MAT005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bookmarkEnd w:id="28"/>
    <w:bookmarkStart w:id="29" w:name="energy-inputs-production-phase"/>
    <w:p>
      <w:pPr>
        <w:pStyle w:val="Heading4"/>
      </w:pPr>
      <w:r>
        <w:t xml:space="preserve">3.3.2. Energy Inputs (Production Phase)</w:t>
      </w:r>
    </w:p>
    <w:p>
      <w:pPr>
        <w:numPr>
          <w:ilvl w:val="0"/>
          <w:numId w:val="1004"/>
        </w:numPr>
        <w:pStyle w:val="Compact"/>
      </w:pPr>
      <w:r>
        <w:rPr>
          <w:bCs/>
          <w:b/>
        </w:rPr>
        <w:t xml:space="preserve">Energy Intensity (kWh/unit):</w:t>
      </w:r>
      <w:r>
        <w:t xml:space="preserve"> </w:t>
      </w:r>
      <w:r>
        <w:t xml:space="preserve">`feohwkfhuo` (Illustrative value: 5.0 kWh/unit)</w:t>
      </w:r>
    </w:p>
    <w:p>
      <w:pPr>
        <w:numPr>
          <w:ilvl w:val="0"/>
          <w:numId w:val="1004"/>
        </w:numPr>
        <w:pStyle w:val="Compact"/>
      </w:pPr>
      <w:r>
        <w:rPr>
          <w:bCs/>
          <w:b/>
        </w:rPr>
        <w:t xml:space="preserve">Renewable Energy Usage:</w:t>
      </w:r>
      <w:r>
        <w:t xml:space="preserve"> </w:t>
      </w:r>
      <w:r>
        <w:t xml:space="preserve">`ugyoegpnru` (Illustrative value: 30%)</w:t>
      </w:r>
    </w:p>
    <w:p>
      <w:pPr>
        <w:numPr>
          <w:ilvl w:val="0"/>
          <w:numId w:val="1004"/>
        </w:numPr>
        <w:pStyle w:val="Compact"/>
      </w:pPr>
      <w:r>
        <w:rPr>
          <w:bCs/>
          <w:b/>
        </w:rPr>
        <w:t xml:space="preserve">China Electricity Grid Emission Factor:</w:t>
      </w:r>
      <w:r>
        <w:t xml:space="preserve"> </w:t>
      </w:r>
      <w:r>
        <w:t xml:space="preserve">0.60 kg CO2e/kWh (Illustrative average based on available data for China.)</w:t>
      </w:r>
    </w:p>
    <w:p>
      <w:pPr>
        <w:numPr>
          <w:ilvl w:val="0"/>
          <w:numId w:val="1004"/>
        </w:numPr>
        <w:pStyle w:val="Compact"/>
      </w:pPr>
      <w:r>
        <w:rPr>
          <w:bCs/>
          <w:b/>
        </w:rPr>
        <w:t xml:space="preserve">Renewable Electricity Emission Factor:</w:t>
      </w:r>
      <w:r>
        <w:t xml:space="preserve"> </w:t>
      </w:r>
      <w:r>
        <w:t xml:space="preserve">0.0 kg CO2e/kWh (Assuming 100% certified renewable sources with zero upstream emissions).</w:t>
      </w:r>
    </w:p>
    <w:bookmarkEnd w:id="29"/>
    <w:bookmarkStart w:id="30" w:name="logistics-data"/>
    <w:p>
      <w:pPr>
        <w:pStyle w:val="Heading4"/>
      </w:pPr>
      <w:r>
        <w:t xml:space="preserve">3.3.3. Logistics Data</w:t>
      </w:r>
    </w:p>
    <w:p>
      <w:pPr>
        <w:numPr>
          <w:ilvl w:val="0"/>
          <w:numId w:val="1005"/>
        </w:numPr>
        <w:pStyle w:val="Compact"/>
      </w:pPr>
      <w:r>
        <w:rPr>
          <w:bCs/>
          <w:b/>
        </w:rPr>
        <w:t xml:space="preserve">Transport Mode:</w:t>
      </w:r>
      <w:r>
        <w:t xml:space="preserve"> </w:t>
      </w:r>
      <w:r>
        <w:t xml:space="preserve">`Select Mode` (Illustrative: Road Freight, as a common mode for European supply chain focus).</w:t>
      </w:r>
    </w:p>
    <w:p>
      <w:pPr>
        <w:numPr>
          <w:ilvl w:val="0"/>
          <w:numId w:val="1005"/>
        </w:numPr>
        <w:pStyle w:val="Compact"/>
      </w:pPr>
      <w:r>
        <w:rPr>
          <w:bCs/>
          <w:b/>
        </w:rPr>
        <w:t xml:space="preserve">Transport Distance:</w:t>
      </w:r>
      <w:r>
        <w:t xml:space="preserve"> </w:t>
      </w:r>
      <w:r>
        <w:t xml:space="preserve">`xiheydtruj` (Illustrative: 800 km for average inbound component transport and outbound product distribution within Europe. For intercontinental transport from China, the distances would be significantly higher and often multi-modal).</w:t>
      </w:r>
    </w:p>
    <w:p>
      <w:pPr>
        <w:numPr>
          <w:ilvl w:val="0"/>
          <w:numId w:val="1005"/>
        </w:numPr>
        <w:pStyle w:val="Compact"/>
      </w:pPr>
      <w:r>
        <w:rPr>
          <w:bCs/>
          <w:b/>
        </w:rPr>
        <w:t xml:space="preserve">Last-Mile Delivery Channel:</w:t>
      </w:r>
      <w:r>
        <w:t xml:space="preserve"> </w:t>
      </w:r>
      <w:r>
        <w:t xml:space="preserve">`Delivery Type` (Illustrative: Standard Parcel Delivery by van).</w:t>
      </w:r>
    </w:p>
    <w:p>
      <w:pPr>
        <w:numPr>
          <w:ilvl w:val="0"/>
          <w:numId w:val="1005"/>
        </w:numPr>
        <w:pStyle w:val="Compact"/>
      </w:pPr>
      <w:r>
        <w:rPr>
          <w:bCs/>
          <w:b/>
        </w:rPr>
        <w:t xml:space="preserve">Road Freight Emission Factor:</w:t>
      </w:r>
      <w:r>
        <w:t xml:space="preserve"> </w:t>
      </w:r>
      <w:r>
        <w:t xml:space="preserve">0.062 kg CO2e/tonne-km (McKinnon average, suitable for Europe-focused supply chain).</w:t>
      </w:r>
    </w:p>
    <w:p>
      <w:pPr>
        <w:numPr>
          <w:ilvl w:val="0"/>
          <w:numId w:val="1005"/>
        </w:numPr>
        <w:pStyle w:val="Compact"/>
      </w:pPr>
      <w:r>
        <w:rPr>
          <w:bCs/>
          <w:b/>
        </w:rPr>
        <w:t xml:space="preserve">Parcel Delivery Emission Factor:</w:t>
      </w:r>
      <w:r>
        <w:t xml:space="preserve"> </w:t>
      </w:r>
      <w:r>
        <w:t xml:space="preserve">0.25 kg CO2e/package (Illustrative average for last-mile.)</w:t>
      </w:r>
    </w:p>
    <w:bookmarkEnd w:id="30"/>
    <w:bookmarkStart w:id="31" w:name="use-phase-data"/>
    <w:p>
      <w:pPr>
        <w:pStyle w:val="Heading4"/>
      </w:pPr>
      <w:r>
        <w:t xml:space="preserve">3.3.4. Use Phase Data</w:t>
      </w:r>
    </w:p>
    <w:p>
      <w:pPr>
        <w:numPr>
          <w:ilvl w:val="0"/>
          <w:numId w:val="1006"/>
        </w:numPr>
        <w:pStyle w:val="Compact"/>
      </w:pPr>
      <w:r>
        <w:rPr>
          <w:bCs/>
          <w:b/>
        </w:rPr>
        <w:t xml:space="preserve">Product Lifespan:</w:t>
      </w:r>
      <w:r>
        <w:t xml:space="preserve"> </w:t>
      </w:r>
      <w:r>
        <w:t xml:space="preserve">`uttyvuprdm` (Illustrative value: 3 years)</w:t>
      </w:r>
    </w:p>
    <w:p>
      <w:pPr>
        <w:numPr>
          <w:ilvl w:val="0"/>
          <w:numId w:val="1006"/>
        </w:numPr>
        <w:pStyle w:val="Compact"/>
      </w:pPr>
      <w:r>
        <w:rPr>
          <w:bCs/>
          <w:b/>
        </w:rPr>
        <w:t xml:space="preserve">Energy Consumption in Use:</w:t>
      </w:r>
      <w:r>
        <w:t xml:space="preserve"> </w:t>
      </w:r>
      <w:r>
        <w:t xml:space="preserve">`jgpjumemux` (Illustrative value: 15 kWh/year)</w:t>
      </w:r>
    </w:p>
    <w:bookmarkEnd w:id="31"/>
    <w:bookmarkStart w:id="32" w:name="end-of-life-eol-data"/>
    <w:p>
      <w:pPr>
        <w:pStyle w:val="Heading4"/>
      </w:pPr>
      <w:r>
        <w:t xml:space="preserve">3.3.5. End-of-Life (EoL) Data</w:t>
      </w:r>
    </w:p>
    <w:p>
      <w:pPr>
        <w:numPr>
          <w:ilvl w:val="0"/>
          <w:numId w:val="1007"/>
        </w:numPr>
        <w:pStyle w:val="Compact"/>
      </w:pPr>
      <w:r>
        <w:rPr>
          <w:bCs/>
          <w:b/>
        </w:rPr>
        <w:t xml:space="preserve">Recyclability Percentage:</w:t>
      </w:r>
      <w:r>
        <w:t xml:space="preserve"> </w:t>
      </w:r>
      <w:r>
        <w:t xml:space="preserve">`rfsupujoqz` (Illustrative value: 60%)</w:t>
      </w:r>
    </w:p>
    <w:p>
      <w:pPr>
        <w:numPr>
          <w:ilvl w:val="0"/>
          <w:numId w:val="1007"/>
        </w:numPr>
        <w:pStyle w:val="Compact"/>
      </w:pPr>
      <w:r>
        <w:rPr>
          <w:bCs/>
          <w:b/>
        </w:rPr>
        <w:t xml:space="preserve">Circular/Take-back Programs:</w:t>
      </w:r>
      <w:r>
        <w:t xml:space="preserve"> </w:t>
      </w:r>
      <w:r>
        <w:t xml:space="preserve">`gxljitkzuq` (Illustrative: Yes, through local collection points, implying some level of material recovery or refurbishment).</w:t>
      </w:r>
    </w:p>
    <w:bookmarkEnd w:id="32"/>
    <w:bookmarkEnd w:id="33"/>
    <w:bookmarkStart w:id="41" w:name="Xa991e7faf76bdf88064e0090ec77f0e137174e3"/>
    <w:p>
      <w:pPr>
        <w:pStyle w:val="Heading3"/>
      </w:pPr>
      <w:r>
        <w:t xml:space="preserve">3.4. Step 4: Calculate Emissions (Activity * Emission Factor = CO2e)</w:t>
      </w:r>
    </w:p>
    <w:p>
      <w:pPr>
        <w:pStyle w:val="FirstParagraph"/>
      </w:pPr>
      <w:r>
        <w:t xml:space="preserve">Emissions are calculated for each lifecycle stage and categorized according to the GHG Protocol Scopes. Illustrative values are used as described above.</w:t>
      </w:r>
    </w:p>
    <w:bookmarkStart w:id="34" w:name="Xf00dcfcfe3b34dadcb578c6867c9e727e55cede"/>
    <w:p>
      <w:pPr>
        <w:pStyle w:val="Heading4"/>
      </w:pPr>
      <w:r>
        <w:t xml:space="preserve">Calculations per Functional Unit (1.0 unit of gluoejxzid):</w:t>
      </w:r>
    </w:p>
    <w:bookmarkEnd w:id="34"/>
    <w:bookmarkStart w:id="35" w:name="X4eb318cf884fd0d5e8b1e3f55526e2cb341a877"/>
    <w:p>
      <w:pPr>
        <w:pStyle w:val="Heading4"/>
      </w:pPr>
      <w:r>
        <w:t xml:space="preserve">3.4.1. Scope 3, Category 1: Purchased Goods and Services (Materials)</w:t>
      </w:r>
    </w:p>
    <w:p>
      <w:pPr>
        <w:pStyle w:val="FirstParagraph"/>
      </w:pPr>
      <w:r>
        <w:t xml:space="preserve">Based on the illustrative BOM, the total emissions from material production are:</w:t>
      </w:r>
    </w:p>
    <w:p>
      <w:pPr>
        <w:numPr>
          <w:ilvl w:val="0"/>
          <w:numId w:val="1008"/>
        </w:numPr>
        <w:pStyle w:val="Compact"/>
      </w:pPr>
      <w:r>
        <w:t xml:space="preserve">Plastic Casing: 0.8 kg * 2.5 kgCO2e/kg = 2.00 kgCO2e</w:t>
      </w:r>
    </w:p>
    <w:p>
      <w:pPr>
        <w:numPr>
          <w:ilvl w:val="0"/>
          <w:numId w:val="1008"/>
        </w:numPr>
        <w:pStyle w:val="Compact"/>
      </w:pPr>
      <w:r>
        <w:t xml:space="preserve">Steel Sheet: 0.5 kg * 1.8 kgCO2e/kg = 0.90 kgCO2e</w:t>
      </w:r>
    </w:p>
    <w:p>
      <w:pPr>
        <w:numPr>
          <w:ilvl w:val="0"/>
          <w:numId w:val="1008"/>
        </w:numPr>
        <w:pStyle w:val="Compact"/>
      </w:pPr>
      <w:r>
        <w:t xml:space="preserve">Copper Wire: 0.1 kg * 4.0 kgCO2e/kg = 0.40 kgCO2e</w:t>
      </w:r>
    </w:p>
    <w:p>
      <w:pPr>
        <w:numPr>
          <w:ilvl w:val="0"/>
          <w:numId w:val="1008"/>
        </w:numPr>
        <w:pStyle w:val="Compact"/>
      </w:pPr>
      <w:r>
        <w:t xml:space="preserve">Printed Circuit Board: 0.05 unit * 20.0 kgCO2e/unit = 1.00 kgCO2e</w:t>
      </w:r>
    </w:p>
    <w:p>
      <w:pPr>
        <w:numPr>
          <w:ilvl w:val="0"/>
          <w:numId w:val="1008"/>
        </w:numPr>
        <w:pStyle w:val="Compact"/>
      </w:pPr>
      <w:r>
        <w:t xml:space="preserve">Cardboard Packaging: 0.2 kg * 1.0 kgCO2e/kg = 0.20 kgCO2e</w:t>
      </w:r>
    </w:p>
    <w:p>
      <w:pPr>
        <w:pStyle w:val="FirstParagraph"/>
      </w:pPr>
      <w:r>
        <w:rPr>
          <w:bCs/>
          <w:b/>
        </w:rPr>
        <w:t xml:space="preserve">Total Materials Emissions:</w:t>
      </w:r>
      <w:r>
        <w:t xml:space="preserve"> </w:t>
      </w:r>
      <w:r>
        <w:t xml:space="preserve">2.00 + 0.90 + 0.40 + 1.00 + 0.20 =</w:t>
      </w:r>
      <w:r>
        <w:t xml:space="preserve"> </w:t>
      </w:r>
      <w:r>
        <w:rPr>
          <w:bCs/>
          <w:b/>
        </w:rPr>
        <w:t xml:space="preserve">4.50 kgCO2e</w:t>
      </w:r>
    </w:p>
    <w:bookmarkEnd w:id="35"/>
    <w:bookmarkStart w:id="36" w:name="Xc003d3f80476ede0823655ae7126fe1c65ba39b"/>
    <w:p>
      <w:pPr>
        <w:pStyle w:val="Heading4"/>
      </w:pPr>
      <w:r>
        <w:t xml:space="preserve">3.4.2. Scope 2 &amp; Scope 3, Category 3: Manufacturing Energy</w:t>
      </w:r>
    </w:p>
    <w:p>
      <w:pPr>
        <w:pStyle w:val="FirstParagraph"/>
      </w:pPr>
      <w:r>
        <w:t xml:space="preserve">Energy intensity for production is `feohwkfhuo` (5.0 kWh/unit) and renewable energy usage is `ugyoegpnru` (30%).</w:t>
      </w:r>
    </w:p>
    <w:p>
      <w:pPr>
        <w:numPr>
          <w:ilvl w:val="0"/>
          <w:numId w:val="1009"/>
        </w:numPr>
        <w:pStyle w:val="Compact"/>
      </w:pPr>
      <w:r>
        <w:t xml:space="preserve">Non-renewable electricity: 5.0 kWh/unit * (1 - 0.30) = 3.5 kWh/unit</w:t>
      </w:r>
    </w:p>
    <w:p>
      <w:pPr>
        <w:numPr>
          <w:ilvl w:val="0"/>
          <w:numId w:val="1009"/>
        </w:numPr>
        <w:pStyle w:val="Compact"/>
      </w:pPr>
      <w:r>
        <w:t xml:space="preserve">Renewable electricity: 5.0 kWh/unit * 0.30 = 1.5 kWh/unit</w:t>
      </w:r>
    </w:p>
    <w:p>
      <w:pPr>
        <w:pStyle w:val="FirstParagraph"/>
      </w:pPr>
      <w:r>
        <w:t xml:space="preserve">Emissions from non-renewable electricity (Scope 2):</w:t>
      </w:r>
    </w:p>
    <w:p>
      <w:pPr>
        <w:pStyle w:val="BodyText"/>
      </w:pPr>
      <w:r>
        <w:t xml:space="preserve">3.5 kWh/unit * 0.60 kgCO2e/kWh (China Grid EF) =</w:t>
      </w:r>
      <w:r>
        <w:t xml:space="preserve"> </w:t>
      </w:r>
      <w:r>
        <w:rPr>
          <w:bCs/>
          <w:b/>
        </w:rPr>
        <w:t xml:space="preserve">2.10 kgCO2e</w:t>
      </w:r>
    </w:p>
    <w:p>
      <w:pPr>
        <w:pStyle w:val="BodyText"/>
      </w:pPr>
      <w:r>
        <w:t xml:space="preserve">Emissions from renewable electricity (assuming zero direct emissions from generation, indirect Scope 3, Category 3 upstream emissions are considered negligible for illustrative purposes with 100% certified renewables): 1.5 kWh/unit * 0.0 kgCO2e/kWh =</w:t>
      </w:r>
      <w:r>
        <w:t xml:space="preserve"> </w:t>
      </w:r>
      <w:r>
        <w:rPr>
          <w:bCs/>
          <w:b/>
        </w:rPr>
        <w:t xml:space="preserve">0.00 kgCO2e</w:t>
      </w:r>
    </w:p>
    <w:p>
      <w:pPr>
        <w:pStyle w:val="BodyText"/>
      </w:pPr>
      <w:r>
        <w:rPr>
          <w:bCs/>
          <w:b/>
        </w:rPr>
        <w:t xml:space="preserve">Total Manufacturing Energy Emissions:</w:t>
      </w:r>
      <w:r>
        <w:t xml:space="preserve"> </w:t>
      </w:r>
      <w:r>
        <w:rPr>
          <w:bCs/>
          <w:b/>
        </w:rPr>
        <w:t xml:space="preserve">2.10 kgCO2e</w:t>
      </w:r>
    </w:p>
    <w:bookmarkEnd w:id="36"/>
    <w:bookmarkStart w:id="37" w:name="X90277728e68a1a3a5a4b426f339a47b21e6b1fe"/>
    <w:p>
      <w:pPr>
        <w:pStyle w:val="Heading4"/>
      </w:pPr>
      <w:r>
        <w:t xml:space="preserve">3.4.3. Scope 3, Category 4: Upstream Transportation &amp; Distribution (Materials)</w:t>
      </w:r>
    </w:p>
    <w:p>
      <w:pPr>
        <w:pStyle w:val="FirstParagraph"/>
      </w:pPr>
      <w:r>
        <w:t xml:space="preserve">Assuming an average material inbound transport of 800 km (`xiheydtruj`) for the total material mass of (0.8+0.5+0.1+0.05*X+0.2) = approx 1.65 kg (assuming average PCB weight). Let\'s use total material mass from BOM = 1.65 kg.</w:t>
      </w:r>
    </w:p>
    <w:p>
      <w:pPr>
        <w:pStyle w:val="BodyText"/>
      </w:pPr>
      <w:r>
        <w:t xml:space="preserve">Total mass of materials = 0.8 + 0.5 + 0.1 + (0.05 units * assumed 0.1kg/unit PCB) + 0.2 = 1.65 kg (illustrative)</w:t>
      </w:r>
    </w:p>
    <w:p>
      <w:pPr>
        <w:pStyle w:val="BodyText"/>
      </w:pPr>
      <w:r>
        <w:t xml:space="preserve">For a product unit, total inbound freight (illustrative average) = 1.65 kg. For long-haul intercontinental freight, the factor of 0.062 kg CO2e/tonne-km requires converting kg to tonnes.</w:t>
      </w:r>
    </w:p>
    <w:p>
      <w:pPr>
        <w:pStyle w:val="BodyText"/>
      </w:pPr>
      <w:r>
        <w:t xml:space="preserve">1.65 kg = 0.00165 tonnes</w:t>
      </w:r>
    </w:p>
    <w:p>
      <w:pPr>
        <w:pStyle w:val="BodyText"/>
      </w:pPr>
      <w:r>
        <w:t xml:space="preserve">Emissions: 0.00165 tonnes * 800 km * 0.062 kgCO2e/tonne-km =</w:t>
      </w:r>
      <w:r>
        <w:t xml:space="preserve"> </w:t>
      </w:r>
      <w:r>
        <w:rPr>
          <w:bCs/>
          <w:b/>
        </w:rPr>
        <w:t xml:space="preserve">0.08184 kgCO2e</w:t>
      </w:r>
    </w:p>
    <w:bookmarkEnd w:id="37"/>
    <w:bookmarkStart w:id="38" w:name="X8fac8055b4443c57e7ebc97da3b4fd48d48409b"/>
    <w:p>
      <w:pPr>
        <w:pStyle w:val="Heading4"/>
      </w:pPr>
      <w:r>
        <w:t xml:space="preserve">3.4.4. Scope 3, Category 9: Downstream Transportation &amp; Distribution (Product)</w:t>
      </w:r>
    </w:p>
    <w:p>
      <w:pPr>
        <w:pStyle w:val="FirstParagraph"/>
      </w:pPr>
      <w:r>
        <w:t xml:space="preserve">Assuming the finished product (1.0 unit) is transported 800 km (`xiheydtruj`) by Road Freight and then undergoes Last-Mile Delivery (`Delivery Type`). Let\'s assume the finished product weighs approximately 1.5 kg (sum of material inputs, simplifying weight of PCB).</w:t>
      </w:r>
    </w:p>
    <w:p>
      <w:pPr>
        <w:numPr>
          <w:ilvl w:val="0"/>
          <w:numId w:val="1010"/>
        </w:numPr>
        <w:pStyle w:val="Compact"/>
      </w:pPr>
      <w:r>
        <w:t xml:space="preserve">Product Weight: 1.5 kg = 0.0015 tonnes (illustrative)</w:t>
      </w:r>
    </w:p>
    <w:p>
      <w:pPr>
        <w:numPr>
          <w:ilvl w:val="0"/>
          <w:numId w:val="1010"/>
        </w:numPr>
        <w:pStyle w:val="Compact"/>
      </w:pPr>
      <w:r>
        <w:t xml:space="preserve">Road Freight Emissions (long-haul): 0.0015 tonnes * 800 km * 0.062 kgCO2e/tonne-km = 0.0744 kgCO2e</w:t>
      </w:r>
    </w:p>
    <w:p>
      <w:pPr>
        <w:numPr>
          <w:ilvl w:val="0"/>
          <w:numId w:val="1010"/>
        </w:numPr>
        <w:pStyle w:val="Compact"/>
      </w:pPr>
      <w:r>
        <w:t xml:space="preserve">Last-Mile Delivery Emissions (per package/unit): 0.25 kgCO2e</w:t>
      </w:r>
    </w:p>
    <w:p>
      <w:pPr>
        <w:pStyle w:val="FirstParagraph"/>
      </w:pPr>
      <w:r>
        <w:rPr>
          <w:bCs/>
          <w:b/>
        </w:rPr>
        <w:t xml:space="preserve">Total Downstream Transport Emissions:</w:t>
      </w:r>
      <w:r>
        <w:t xml:space="preserve"> </w:t>
      </w:r>
      <w:r>
        <w:t xml:space="preserve">0.0744 + 0.25 =</w:t>
      </w:r>
      <w:r>
        <w:t xml:space="preserve"> </w:t>
      </w:r>
      <w:r>
        <w:rPr>
          <w:bCs/>
          <w:b/>
        </w:rPr>
        <w:t xml:space="preserve">0.3244 kgCO2e</w:t>
      </w:r>
    </w:p>
    <w:bookmarkEnd w:id="38"/>
    <w:bookmarkStart w:id="39" w:name="scope-3-category-11-use-of-sold-products"/>
    <w:p>
      <w:pPr>
        <w:pStyle w:val="Heading4"/>
      </w:pPr>
      <w:r>
        <w:t xml:space="preserve">3.4.5. Scope 3, Category 11: Use of Sold Products</w:t>
      </w:r>
    </w:p>
    <w:p>
      <w:pPr>
        <w:pStyle w:val="FirstParagraph"/>
      </w:pPr>
      <w:r>
        <w:t xml:space="preserve">Product lifespan (`uttyvuprdm`) is 3 years, and energy consumption in use (`jgpjumemux`) is 15 kWh/year.</w:t>
      </w:r>
    </w:p>
    <w:p>
      <w:pPr>
        <w:pStyle w:val="BodyText"/>
      </w:pPr>
      <w:r>
        <w:t xml:space="preserve">Total energy consumption over lifespan = 15 kWh/year * 3 years = 45 kWh</w:t>
      </w:r>
    </w:p>
    <w:p>
      <w:pPr>
        <w:pStyle w:val="BodyText"/>
      </w:pPr>
      <w:r>
        <w:t xml:space="preserve">Assuming average grid mix for user location (e.g., European average of 0.25 kgCO2e/kWh for illustrative purposes, highly variable by country).</w:t>
      </w:r>
    </w:p>
    <w:p>
      <w:pPr>
        <w:pStyle w:val="BodyText"/>
      </w:pPr>
      <w:r>
        <w:t xml:space="preserve">Emissions: 45 kWh * 0.25 kgCO2e/kWh =</w:t>
      </w:r>
      <w:r>
        <w:t xml:space="preserve"> </w:t>
      </w:r>
      <w:r>
        <w:rPr>
          <w:bCs/>
          <w:b/>
        </w:rPr>
        <w:t xml:space="preserve">11.25 kgCO2e</w:t>
      </w:r>
    </w:p>
    <w:bookmarkEnd w:id="39"/>
    <w:bookmarkStart w:id="40" w:name="X8a83d50c0d89d142371b1cb2678444c0262a9c4"/>
    <w:p>
      <w:pPr>
        <w:pStyle w:val="Heading4"/>
      </w:pPr>
      <w:r>
        <w:t xml:space="preserve">3.4.6. Scope 3, Category 12: End-of-Life Treatment of Sold Products</w:t>
      </w:r>
    </w:p>
    <w:p>
      <w:pPr>
        <w:pStyle w:val="FirstParagraph"/>
      </w:pPr>
      <w:r>
        <w:t xml:space="preserve">Recyclability Percentage (`rfsupujoqz`) is 60%. Circular/Take-back Programs (`gxljitkzuq`) are in place.</w:t>
      </w:r>
    </w:p>
    <w:p>
      <w:pPr>
        <w:pStyle w:val="BodyText"/>
      </w:pPr>
      <w:r>
        <w:t xml:space="preserve">Assuming 1.5 kg product mass (illustrative).</w:t>
      </w:r>
    </w:p>
    <w:p>
      <w:pPr>
        <w:numPr>
          <w:ilvl w:val="0"/>
          <w:numId w:val="1011"/>
        </w:numPr>
        <w:pStyle w:val="Compact"/>
      </w:pPr>
      <w:r>
        <w:t xml:space="preserve">Recycled portion: 1.5 kg * 0.60 = 0.9 kg</w:t>
      </w:r>
    </w:p>
    <w:p>
      <w:pPr>
        <w:numPr>
          <w:ilvl w:val="0"/>
          <w:numId w:val="1011"/>
        </w:numPr>
        <w:pStyle w:val="Compact"/>
      </w:pPr>
      <w:r>
        <w:t xml:space="preserve">Disposed portion (landfill/incineration): 1.5 kg * (1 - 0.60) = 0.6 kg</w:t>
      </w:r>
    </w:p>
    <w:p>
      <w:pPr>
        <w:pStyle w:val="FirstParagraph"/>
      </w:pPr>
      <w:r>
        <w:t xml:space="preserve">For recycled materials, avoided emissions can be credited. For illustrative purposes, we assume a 50% avoided emission factor for the recycled portion compared to virgin material production, and a disposal emission factor for the remainder.</w:t>
      </w:r>
    </w:p>
    <w:p>
      <w:pPr>
        <w:pStyle w:val="BodyText"/>
      </w:pPr>
      <w:r>
        <w:t xml:space="preserve">Illustrative avoided emissions credit from recycling: 0.9 kg * (-2.0 kgCO2e/kg for typical material recycling benefit) = -1.80 kgCO2e</w:t>
      </w:r>
    </w:p>
    <w:p>
      <w:pPr>
        <w:pStyle w:val="BodyText"/>
      </w:pPr>
      <w:r>
        <w:t xml:space="preserve">Illustrative disposal emissions: 0.6 kg * 1.0 kgCO2e/kg (average disposal factor) = 0.60 kgCO2e</w:t>
      </w:r>
    </w:p>
    <w:p>
      <w:pPr>
        <w:pStyle w:val="BodyText"/>
      </w:pPr>
      <w:r>
        <w:rPr>
          <w:bCs/>
          <w:b/>
        </w:rPr>
        <w:t xml:space="preserve">Total End-of-Life Emissions:</w:t>
      </w:r>
      <w:r>
        <w:t xml:space="preserve"> </w:t>
      </w:r>
      <w:r>
        <w:t xml:space="preserve">-1.80 + 0.60 =</w:t>
      </w:r>
      <w:r>
        <w:t xml:space="preserve"> </w:t>
      </w:r>
      <w:r>
        <w:rPr>
          <w:bCs/>
          <w:b/>
        </w:rPr>
        <w:t xml:space="preserve">-1.20 kgCO2e</w:t>
      </w:r>
      <w:r>
        <w:t xml:space="preserve"> </w:t>
      </w:r>
      <w:r>
        <w:t xml:space="preserve">(net removal/benefit due to high recyclability and programs).</w:t>
      </w:r>
    </w:p>
    <w:bookmarkEnd w:id="40"/>
    <w:bookmarkEnd w:id="41"/>
    <w:bookmarkStart w:id="47" w:name="step-5-review-report"/>
    <w:p>
      <w:pPr>
        <w:pStyle w:val="Heading3"/>
      </w:pPr>
      <w:r>
        <w:t xml:space="preserve">3.5. Step 5: Review &amp; Report</w:t>
      </w:r>
    </w:p>
    <w:bookmarkStart w:id="42" w:name="X5fd142a1b950e6ee46291160911963e16af215d"/>
    <w:p>
      <w:pPr>
        <w:pStyle w:val="Heading4"/>
      </w:pPr>
      <w:r>
        <w:t xml:space="preserve">3.5.1. Summary of Product Carbon Footprint (PCF) for gluoejxzid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4.50</w:t>
            </w:r>
          </w:p>
        </w:tc>
      </w:tr>
      <w:tr>
        <w:tc>
          <w:tcPr/>
          <w:p>
            <w:pPr>
              <w:pStyle w:val="Compact"/>
              <w:jc w:val="left"/>
            </w:pPr>
            <w:r>
              <w:t xml:space="preserve">Manufacturing Energy (Electricity)</w:t>
            </w:r>
          </w:p>
        </w:tc>
        <w:tc>
          <w:tcPr/>
          <w:p>
            <w:pPr>
              <w:pStyle w:val="Compact"/>
              <w:jc w:val="left"/>
            </w:pPr>
            <w:r>
              <w:t xml:space="preserve">Scope 2</w:t>
            </w:r>
          </w:p>
        </w:tc>
        <w:tc>
          <w:tcPr/>
          <w:p>
            <w:pPr>
              <w:pStyle w:val="Compact"/>
              <w:jc w:val="left"/>
            </w:pPr>
            <w:r>
              <w:t xml:space="preserve">2.10</w:t>
            </w:r>
          </w:p>
        </w:tc>
      </w:tr>
      <w:tr>
        <w:tc>
          <w:tcPr/>
          <w:p>
            <w:pPr>
              <w:pStyle w:val="Compact"/>
              <w:jc w:val="left"/>
            </w:pPr>
            <w:r>
              <w:t xml:space="preserve">Upstream Transportation &amp; Distribution (Materials)</w:t>
            </w:r>
          </w:p>
        </w:tc>
        <w:tc>
          <w:tcPr/>
          <w:p>
            <w:pPr>
              <w:pStyle w:val="Compact"/>
              <w:jc w:val="left"/>
            </w:pPr>
            <w:r>
              <w:t xml:space="preserve">Scope 3, Category 4</w:t>
            </w:r>
          </w:p>
        </w:tc>
        <w:tc>
          <w:tcPr/>
          <w:p>
            <w:pPr>
              <w:pStyle w:val="Compact"/>
              <w:jc w:val="left"/>
            </w:pPr>
            <w:r>
              <w:t xml:space="preserve">0.08</w:t>
            </w:r>
          </w:p>
        </w:tc>
      </w:tr>
      <w:tr>
        <w:tc>
          <w:tcPr/>
          <w:p>
            <w:pPr>
              <w:pStyle w:val="Compact"/>
              <w:jc w:val="left"/>
            </w:pPr>
            <w:r>
              <w:t xml:space="preserve">Downstream Transportation &amp; Distribution (Product)</w:t>
            </w:r>
          </w:p>
        </w:tc>
        <w:tc>
          <w:tcPr/>
          <w:p>
            <w:pPr>
              <w:pStyle w:val="Compact"/>
              <w:jc w:val="left"/>
            </w:pPr>
            <w:r>
              <w:t xml:space="preserve">Scope 3, Category 9</w:t>
            </w:r>
          </w:p>
        </w:tc>
        <w:tc>
          <w:tcPr/>
          <w:p>
            <w:pPr>
              <w:pStyle w:val="Compact"/>
              <w:jc w:val="left"/>
            </w:pPr>
            <w:r>
              <w:t xml:space="preserve">0.32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11.25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-1.20</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17.05</w:t>
            </w:r>
          </w:p>
        </w:tc>
      </w:tr>
    </w:tbl>
    <w:bookmarkEnd w:id="42"/>
    <w:bookmarkStart w:id="43" w:name="X46853a1f8172270e9f00252ab619f406734bbd6"/>
    <w:p>
      <w:pPr>
        <w:pStyle w:val="Heading4"/>
      </w:pPr>
      <w:r>
        <w:t xml:space="preserve">3.5.2. Emissions Categorization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(kgCO2e per functional 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2.10</w:t>
            </w:r>
          </w:p>
        </w:tc>
        <w:tc>
          <w:tcPr/>
          <w:p>
            <w:pPr>
              <w:pStyle w:val="Compact"/>
              <w:jc w:val="left"/>
            </w:pPr>
            <w:r>
              <w:t xml:space="preserve">12.32%</w:t>
            </w:r>
          </w:p>
        </w:tc>
      </w:tr>
      <w:tr>
        <w:tc>
          <w:tcPr/>
          <w:p>
            <w:pPr>
              <w:pStyle w:val="Compact"/>
              <w:jc w:val="left"/>
            </w:pPr>
            <w:r>
              <w:t xml:space="preserve">Scope 3 (Value Chain Emissions)</w:t>
            </w:r>
          </w:p>
        </w:tc>
        <w:tc>
          <w:tcPr/>
          <w:p>
            <w:pPr>
              <w:pStyle w:val="Compact"/>
              <w:jc w:val="left"/>
            </w:pPr>
            <w:r>
              <w:t xml:space="preserve">14.95</w:t>
            </w:r>
          </w:p>
        </w:tc>
        <w:tc>
          <w:tcPr/>
          <w:p>
            <w:pPr>
              <w:pStyle w:val="Compact"/>
              <w:jc w:val="left"/>
            </w:pPr>
            <w:r>
              <w:t xml:space="preserve">87.68%</w:t>
            </w:r>
          </w:p>
        </w:tc>
      </w:tr>
      <w:tr>
        <w:tc>
          <w:tcPr/>
          <w:p>
            <w:pPr>
              <w:pStyle w:val="Compact"/>
              <w:jc w:val="left"/>
            </w:pPr>
            <w:r>
              <w:rPr>
                <w:bCs/>
                <w:b/>
              </w:rPr>
              <w:t xml:space="preserve">TOTAL PCF</w:t>
            </w:r>
          </w:p>
        </w:tc>
        <w:tc>
          <w:tcPr/>
          <w:p>
            <w:pPr>
              <w:pStyle w:val="Compact"/>
              <w:jc w:val="left"/>
            </w:pPr>
            <w:r>
              <w:rPr>
                <w:bCs/>
                <w:b/>
              </w:rPr>
              <w:t xml:space="preserve">17.05</w:t>
            </w:r>
          </w:p>
        </w:tc>
        <w:tc>
          <w:tcPr/>
          <w:p>
            <w:pPr>
              <w:pStyle w:val="Compact"/>
              <w:jc w:val="left"/>
            </w:pPr>
            <w:r>
              <w:rPr>
                <w:bCs/>
                <w:b/>
              </w:rPr>
              <w:t xml:space="preserve">100.00%</w:t>
            </w:r>
          </w:p>
        </w:tc>
      </w:tr>
    </w:tbl>
    <w:p>
      <w:pPr>
        <w:pStyle w:val="BodyText"/>
      </w:pPr>
      <w:r>
        <w:t xml:space="preserve">Note: Scope 3 total is calculated as (4.50 + 0.08 + 0.32 + 11.25 - 1.20) = 14.95 kgCO2e. The total PCF is 17.05 kgCO2e. All calculations use illustrative values based on generic input parameters.</w:t>
      </w:r>
    </w:p>
    <w:bookmarkEnd w:id="43"/>
    <w:bookmarkStart w:id="44" w:name="hotspots-and-reliability"/>
    <w:p>
      <w:pPr>
        <w:pStyle w:val="Heading4"/>
      </w:pPr>
      <w:r>
        <w:t xml:space="preserve">3.5.3. Hotspots and Reliability</w:t>
      </w:r>
    </w:p>
    <w:p>
      <w:pPr>
        <w:pStyle w:val="FirstParagraph"/>
      </w:pPr>
      <w:r>
        <w:t xml:space="preserve">The analysis reveals the following emission hotspots for \'gluoejxzid\':</w:t>
      </w:r>
    </w:p>
    <w:p>
      <w:pPr>
        <w:numPr>
          <w:ilvl w:val="0"/>
          <w:numId w:val="1012"/>
        </w:numPr>
        <w:pStyle w:val="Compact"/>
      </w:pPr>
      <w:r>
        <w:rPr>
          <w:bCs/>
          <w:b/>
        </w:rPr>
        <w:t xml:space="preserve">Use Phase (Scope 3, Category 11):</w:t>
      </w:r>
      <w:r>
        <w:t xml:space="preserve"> </w:t>
      </w:r>
      <w:r>
        <w:t xml:space="preserve">This stage contributes the largest share (approximately 66%) of the total PCF, primarily due to ongoing energy consumption over the product\'s lifespan. Efforts to improve energy efficiency during use or extend product durability would significantly reduce this impact. The 2026 GHG Protocol Scope 3 revisions\' emphasis on annualized, stock-based accounting for Category 11 encourages designing for durability and efficient use.</w:t>
      </w:r>
    </w:p>
    <w:p>
      <w:pPr>
        <w:numPr>
          <w:ilvl w:val="0"/>
          <w:numId w:val="1012"/>
        </w:numPr>
        <w:pStyle w:val="Compact"/>
      </w:pPr>
      <w:r>
        <w:rPr>
          <w:bCs/>
          <w:b/>
        </w:rPr>
        <w:t xml:space="preserve">Materials Acquisition &amp; Pre-processing (Scope 3, Category 1):</w:t>
      </w:r>
      <w:r>
        <w:t xml:space="preserve"> </w:t>
      </w:r>
      <w:r>
        <w:t xml:space="preserve">The production of raw materials is the second-largest contributor, accounting for approximately 26% of the total PCF. Optimizing material choices, sourcing lower-carbon alternatives, and increasing recycled content can mitigate these emissions.</w:t>
      </w:r>
    </w:p>
    <w:p>
      <w:pPr>
        <w:numPr>
          <w:ilvl w:val="0"/>
          <w:numId w:val="1012"/>
        </w:numPr>
        <w:pStyle w:val="Compact"/>
      </w:pPr>
      <w:r>
        <w:rPr>
          <w:bCs/>
          <w:b/>
        </w:rPr>
        <w:t xml:space="preserve">Manufacturing Energy (Scope 2):</w:t>
      </w:r>
      <w:r>
        <w:t xml:space="preserve"> </w:t>
      </w:r>
      <w:r>
        <w:t xml:space="preserve">While significant, representing about 12% of the total, increasing the use of renewable energy at the production facility (`ugyoegpnru`) has a direct positive impact, as demonstrated by the 30% renewable usage already implemented by msvtosdysu.</w:t>
      </w:r>
    </w:p>
    <w:p>
      <w:pPr>
        <w:pStyle w:val="FirstParagraph"/>
      </w:pPr>
      <w:r>
        <w:rPr>
          <w:bCs/>
          <w:b/>
        </w:rPr>
        <w:t xml:space="preserve">Reliability:</w:t>
      </w:r>
      <w:r>
        <w:t xml:space="preserve"> </w:t>
      </w:r>
      <w:r>
        <w:t xml:space="preserve">The reliability of this report is directly tied to the accuracy and granularity of the input data. As several key parameters were provided as generic placeholders, illustrative values from industry averages have been used. To enhance accuracy, \'msvtosdysu\' should focus on collecting primary, activity-specific data for material production, exact transport distances and modes, and actual energy consumption patterns of their customers. The 2026 Scope 3 updates will require mandatory data disaggregation, pushing companies towards higher quality primary data.</w:t>
      </w:r>
    </w:p>
    <w:bookmarkEnd w:id="44"/>
    <w:bookmarkStart w:id="45" w:name="scope-3-coverage-2026-compliance"/>
    <w:p>
      <w:pPr>
        <w:pStyle w:val="Heading4"/>
      </w:pPr>
      <w:r>
        <w:t xml:space="preserve">3.5.4. Scope 3 Coverage (2026 Compliance)</w:t>
      </w:r>
    </w:p>
    <w:p>
      <w:pPr>
        <w:pStyle w:val="FirstParagraph"/>
      </w:pPr>
      <w:r>
        <w:t xml:space="preserve">With Scope 3 emissions representing 87.68% of the total PCF, this analysis demonstrates a strong commitment to comprehensive value chain reporting. By including major upstream (materials, upstream transport) and downstream (downstream transport, use phase, EoL) categories, the report aims to meet or exceed the GHG Protocol\'s 2026 requirement of at least 95% coverage for relevant Scope 3 emissions. Further efforts should focus on identifying and quantifying any remaining minor Scope 3 categories to ensure full compliance.</w:t>
      </w:r>
    </w:p>
    <w:bookmarkEnd w:id="45"/>
    <w:bookmarkStart w:id="46" w:name="X4fa69b270aa35472cf8f403f38c886b321d5d02"/>
    <w:p>
      <w:pPr>
        <w:pStyle w:val="Heading4"/>
      </w:pPr>
      <w:r>
        <w:t xml:space="preserve">3.5.5. Land Sector and Removals (LSR) Standard Considerations</w:t>
      </w:r>
    </w:p>
    <w:p>
      <w:pPr>
        <w:pStyle w:val="FirstParagraph"/>
      </w:pPr>
      <w:r>
        <w:t xml:space="preserve">The Land Sector and Removals Standard, effective January 1, 2027, will be critical for companies with land-related emissions or removals. For \'msvtosdysu\', this means a future focus on understanding the land-use impacts of raw material sourcing (e.g., agricultural products, forestry) and exploring opportunities for carbon removals, if applicable to \'gluoejxzid\' or its supply chain. The forthcoming guidance for the LSR Standard, expected in Q2 2026, will provide more detailed methodologies.</w:t>
      </w:r>
    </w:p>
    <w:p>
      <w:r>
        <w:pict>
          <v:rect style="width:0;height:1.5pt" o:hralign="center" o:hrstd="t" o:hr="t"/>
        </w:pict>
      </w:r>
    </w:p>
    <w:bookmarkEnd w:id="46"/>
    <w:bookmarkEnd w:id="47"/>
    <w:bookmarkEnd w:id="48"/>
    <w:bookmarkStart w:id="49" w:name="recommendations-for-decarbonization"/>
    <w:p>
      <w:pPr>
        <w:pStyle w:val="Heading1"/>
      </w:pPr>
      <w:r>
        <w:t xml:space="preserve">4. Recommendations for Decarbonization</w:t>
      </w:r>
    </w:p>
    <w:p>
      <w:pPr>
        <w:pStyle w:val="FirstParagraph"/>
      </w:pPr>
      <w:r>
        <w:t xml:space="preserve">Based on this PCF analysis, \'msvtosdysu\' can consider the following strategic recommendations to reduce the carbon footprint of \'gluoejxzid\':</w:t>
      </w:r>
    </w:p>
    <w:p>
      <w:pPr>
        <w:numPr>
          <w:ilvl w:val="0"/>
          <w:numId w:val="1013"/>
        </w:numPr>
        <w:pStyle w:val="Compact"/>
      </w:pPr>
      <w:r>
        <w:rPr>
          <w:bCs/>
          <w:b/>
        </w:rPr>
        <w:t xml:space="preserve">Energy Efficiency &amp; Renewable Sourcing in Use Phase:</w:t>
      </w:r>
      <w:r>
        <w:t xml:space="preserve"> </w:t>
      </w:r>
      <w:r>
        <w:t xml:space="preserve">Invest in R&amp;D to significantly reduce the energy consumption of \'gluoejxzid\' during its operational lifespan. Explore user behavior change initiatives or smart energy features.</w:t>
      </w:r>
    </w:p>
    <w:p>
      <w:pPr>
        <w:numPr>
          <w:ilvl w:val="0"/>
          <w:numId w:val="1013"/>
        </w:numPr>
        <w:pStyle w:val="Compact"/>
      </w:pPr>
      <w:r>
        <w:rPr>
          <w:bCs/>
          <w:b/>
        </w:rPr>
        <w:t xml:space="preserve">Sustainable Material Sourcing:</w:t>
      </w:r>
      <w:r>
        <w:t xml:space="preserve"> </w:t>
      </w:r>
      <w:r>
        <w:t xml:space="preserve">Prioritize suppliers that demonstrate lower emission factors for raw materials. Investigate alternative materials with inherently lower embodied carbon, potentially increasing the `Recyclability Percentage` (`rfsupujoqz`).</w:t>
      </w:r>
    </w:p>
    <w:p>
      <w:pPr>
        <w:numPr>
          <w:ilvl w:val="0"/>
          <w:numId w:val="1013"/>
        </w:numPr>
        <w:pStyle w:val="Compact"/>
      </w:pPr>
      <w:r>
        <w:rPr>
          <w:bCs/>
          <w:b/>
        </w:rPr>
        <w:t xml:space="preserve">Enhance Circular Economy Initiatives:</w:t>
      </w:r>
      <w:r>
        <w:t xml:space="preserve"> </w:t>
      </w:r>
      <w:r>
        <w:t xml:space="preserve">Expand and promote the existing `Circular/Take-back Programs` (`gxljitkzuq`) to maximize material recovery and reuse, thus increasing avoided emissions from virgin material production and reducing End-of-Life impacts.</w:t>
      </w:r>
    </w:p>
    <w:p>
      <w:pPr>
        <w:numPr>
          <w:ilvl w:val="0"/>
          <w:numId w:val="1013"/>
        </w:numPr>
        <w:pStyle w:val="Compact"/>
      </w:pPr>
      <w:r>
        <w:rPr>
          <w:bCs/>
          <w:b/>
        </w:rPr>
        <w:t xml:space="preserve">Supply Chain Optimization:</w:t>
      </w:r>
      <w:r>
        <w:t xml:space="preserve"> </w:t>
      </w:r>
      <w:r>
        <w:t xml:space="preserve">Work with logistics partners to optimize transport routes, switch to lower-emission transport modes (e.g., rail, sea freight for long distances where feasible), and improve vehicle load factors for both upstream and downstream transportation. This is particularly relevant for the "Europe Focused" supply chain.</w:t>
      </w:r>
    </w:p>
    <w:p>
      <w:pPr>
        <w:numPr>
          <w:ilvl w:val="0"/>
          <w:numId w:val="1013"/>
        </w:numPr>
        <w:pStyle w:val="Compact"/>
      </w:pPr>
      <w:r>
        <w:rPr>
          <w:bCs/>
          <w:b/>
        </w:rPr>
        <w:t xml:space="preserve">Data Quality Improvement:</w:t>
      </w:r>
      <w:r>
        <w:t xml:space="preserve"> </w:t>
      </w:r>
      <w:r>
        <w:t xml:space="preserve">Invest in systems to collect primary activity data across the value chain to improve the accuracy and auditability of future PCF assessments, aligning with the 2026 GHG Protocol Scope 3 data disaggregation requirements.</w:t>
      </w:r>
    </w:p>
    <w:p>
      <w:r>
        <w:pict>
          <v:rect style="width:0;height:1.5pt" o:hralign="center" o:hrstd="t" o:hr="t"/>
        </w:pict>
      </w:r>
    </w:p>
    <w:bookmarkEnd w:id="49"/>
    <w:bookmarkStart w:id="50" w:name="conclusion"/>
    <w:p>
      <w:pPr>
        <w:pStyle w:val="Heading1"/>
      </w:pPr>
      <w:r>
        <w:t xml:space="preserve">5. Conclusion</w:t>
      </w:r>
    </w:p>
    <w:p>
      <w:pPr>
        <w:pStyle w:val="FirstParagraph"/>
      </w:pPr>
      <w:r>
        <w:t xml:space="preserve">This high-detail PCF analysis provides \'msvtosdysu\' with a robust understanding of the environmental impact of \'gluoejxzid\' in accordance with the GHG Protocol, including the latest 2026 updates. By focusing on the identified hotspots—particularly the use phase and material production—and implementing the recommended strategies, \'msvtosdysu\' can make significant strides towards reducing its product\'s carbon footprint and demonstrating leadership in sustainability.</w:t>
      </w:r>
    </w:p>
    <w:p>
      <w:pPr>
        <w:pStyle w:val="BodyText"/>
      </w:pPr>
      <w:r>
        <w:t xml:space="preserve">Confidential - Internal Use Only | Page</w:t>
      </w:r>
      <w:r>
        <w:t xml:space="preserve"> </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gluoejxzid</dc:title>
  <dc:creator/>
  <dc:description>Detailed Product Carbon Footprint (PCF) Analysis Report for gluoejxzid by msvtosdysu, adhering to GHG Protocol standards and 2026 updates.</dc:description>
  <dc:language>en</dc:language>
  <cp:keywords/>
  <dcterms:created xsi:type="dcterms:W3CDTF">2026-05-30T18:34:17Z</dcterms:created>
  <dcterms:modified xsi:type="dcterms:W3CDTF">2026-05-30T18:34:17Z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