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gluhuipxdu</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gluhuipxdu"/>
    <w:p>
      <w:pPr>
        <w:pStyle w:val="Heading2"/>
      </w:pPr>
      <w:r>
        <w:t xml:space="preserve">Product: gluhuipxdu</w:t>
      </w:r>
    </w:p>
    <w:p>
      <w:pPr>
        <w:pStyle w:val="FirstParagraph"/>
      </w:pPr>
      <w:r>
        <w:rPr>
          <w:bCs/>
          <w:b/>
        </w:rPr>
        <w:t xml:space="preserve">Company Name:</w:t>
      </w:r>
      <w:r>
        <w:t xml:space="preserve"> </w:t>
      </w:r>
      <w:r>
        <w:t xml:space="preserve">iujmpoummd</w:t>
      </w:r>
    </w:p>
    <w:p>
      <w:pPr>
        <w:pStyle w:val="BodyText"/>
      </w:pPr>
      <w:r>
        <w:rPr>
          <w:bCs/>
          <w:b/>
        </w:rPr>
        <w:t xml:space="preserve">Senior Sustainability Consultant:</w:t>
      </w:r>
      <w:r>
        <w:t xml:space="preserve"> </w:t>
      </w:r>
      <w:r>
        <w:t xml:space="preserve">tvywmprgyu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End w:id="21"/>
    <w:bookmarkStart w:id="51" w:name="X5a253ed15618fc4d44f735c5416ab877ba2337b"/>
    <w:p>
      <w:pPr>
        <w:pStyle w:val="Heading1"/>
      </w:pPr>
      <w:r>
        <w:t xml:space="preserve">Product Carbon Footprint Analysis Report: gluhuipxdu</w:t>
      </w:r>
    </w:p>
    <w:p>
      <w:pPr>
        <w:pStyle w:val="FirstParagraph"/>
      </w:pPr>
      <w:r>
        <w:rPr>
          <w:bCs/>
          <w:b/>
        </w:rPr>
        <w:t xml:space="preserve">Generated Date:</w:t>
      </w:r>
      <w:r>
        <w:t xml:space="preserve"> </w:t>
      </w:r>
      <w:r>
        <w:t xml:space="preserve">May 25, 2026</w:t>
      </w:r>
    </w:p>
    <w:p>
      <w:pPr>
        <w:pStyle w:val="BodyText"/>
      </w:pPr>
      <w:r>
        <w:rPr>
          <w:bCs/>
          <w:b/>
        </w:rPr>
        <w:t xml:space="preserve">Company:</w:t>
      </w:r>
      <w:r>
        <w:t xml:space="preserve"> </w:t>
      </w:r>
      <w:r>
        <w:t xml:space="preserve">iujmpoummd</w:t>
      </w:r>
    </w:p>
    <w:p>
      <w:pPr>
        <w:pStyle w:val="BodyText"/>
      </w:pPr>
      <w:r>
        <w:rPr>
          <w:bCs/>
          <w:b/>
        </w:rPr>
        <w:t xml:space="preserve">Senior Sustainability Consultant:</w:t>
      </w:r>
      <w:r>
        <w:t xml:space="preserve"> </w:t>
      </w:r>
      <w:r>
        <w:t xml:space="preserve">tvywmprgyu</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gluhuipxdu, manufactured by iujmpoummd. The assessment adheres strictly to the GHG Protocol, incorporating the latest 2026 Land Sector and Removals (LSR) Standard updates and targeting a minimum of 95% Scope 3 coverage. The analysis covers the entire product lifecycle from raw material extraction to end-of-life, with a primary system boundary of \'factory gate\' for direct operational emissions, while including comprehensive Scope 3 emissions for upstream and downstream activities. Key findings highlight the primary emission hotspots across material acquisition, manufacturing, transportation, use phase, and end-of-life, providing a robust foundation for strategic decarbonization efforts.</w:t>
      </w:r>
    </w:p>
    <w:p>
      <w:r>
        <w:pict>
          <v:rect style="width:0;height:1.5pt" o:hralign="center" o:hrstd="t" o:hr="t"/>
        </w:pict>
      </w:r>
    </w:p>
    <w:bookmarkEnd w:id="22"/>
    <w:bookmarkStart w:id="27" w:name="define-scope"/>
    <w:p>
      <w:pPr>
        <w:pStyle w:val="Heading2"/>
      </w:pPr>
      <w:r>
        <w:t xml:space="preserve">1. Define Scope</w:t>
      </w:r>
    </w:p>
    <w:p>
      <w:pPr>
        <w:pStyle w:val="FirstParagraph"/>
      </w:pPr>
      <w:r>
        <w:t xml:space="preserve">The first step in this PCF analysis for product gluhuipxdu involves clearly defining the scope of the assessment, ensuring consistency and comparability with GHG Protocol standards.</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gluhuipxdu. This unit serves as the reference basis for quantifying all relevant inputs and outputs throughout the product\'s lifecycle.</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This boundary specifically refers to the emissions associated with the production of gluhuipxdu up to the point it leaves the manufacturing facility. However, in line with comprehensive PCF analysis and GHG Protocol requirements for Scope 3, this report extends beyond the traditional "factory gate" to include upstream (raw material extraction, processing, upstream transport) and downstream (transport to customer, use phase, end-of-life) emissions to provide a full cradle-to-grave perspective. Direct operational emissions (Scope 1 and 2) are primarily tied to the factory gate.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implies that upstream and downstream logistics, where applicable, consider European transportation networks and associated emission factors.</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This analysis fully adheres to the GHG Protocol\'s Corporate Accounting and Reporting Standard and the Corporate Value Chain (Scope 3) Accounting and Reporting Standard.</w:t>
      </w:r>
    </w:p>
    <w:p>
      <w:pPr>
        <w:numPr>
          <w:ilvl w:val="0"/>
          <w:numId w:val="1004"/>
        </w:numPr>
        <w:pStyle w:val="Compact"/>
      </w:pPr>
      <w:r>
        <w:rPr>
          <w:bCs/>
          <w:b/>
        </w:rPr>
        <w:t xml:space="preserve">2026 LSR Update:</w:t>
      </w:r>
      <w:r>
        <w:t xml:space="preserve"> </w:t>
      </w:r>
      <w:r>
        <w:t xml:space="preserve">The Land Sector and Removals (LSR) Standard, effective January 1, 2027, is applied for land use and carbon removals. While specific land-related activities for gluhuipxdu are not detailed in the provided parameters, the framework for accounting and reporting land emissions, CO₂ removals, and biogenic products as outlined in the LSR Standard is acknowledged and integrated where relevant data would permit. The LSR Standard, published on January 30, 2026, and its accompanying guidance (expected Q2 2026) aims to provide methods for companies to quantify and track land emissions and CO₂ removals.</w:t>
      </w:r>
    </w:p>
    <w:p>
      <w:pPr>
        <w:numPr>
          <w:ilvl w:val="0"/>
          <w:numId w:val="1004"/>
        </w:numPr>
        <w:pStyle w:val="Compact"/>
      </w:pPr>
      <w:r>
        <w:rPr>
          <w:bCs/>
          <w:b/>
        </w:rPr>
        <w:t xml:space="preserve">Scope 3 Compliance:</w:t>
      </w:r>
      <w:r>
        <w:t xml:space="preserve"> </w:t>
      </w:r>
      <w:r>
        <w:t xml:space="preserve">At least 95% coverage for Scope 3 reporting is ensured as per 2026 requirements. The GHG Protocol has proposed a prescriptive completeness requirement of at least 95% of total required Scope 3 emissions to claim conformance, eliminating selective disclosure.</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This section details the lifecycle stages of gluhuipxdu and the data collected for each, including a high-accuracy material impact calculation using the provided Detailed Bill of Materials (BOM) and customized energy and logistics data.</w:t>
      </w:r>
    </w:p>
    <w:bookmarkStart w:id="28" w:name="X1eeecb529da16fb0d5751448e6fb5f24babcd5a"/>
    <w:p>
      <w:pPr>
        <w:pStyle w:val="Heading3"/>
      </w:pPr>
      <w:r>
        <w:t xml:space="preserve">2.1 Bill of Materials (BOM) and Material Acquisition (Scope 3, Upstream)</w:t>
      </w:r>
    </w:p>
    <w:p>
      <w:pPr>
        <w:pStyle w:val="FirstParagraph"/>
      </w:pPr>
      <w:r>
        <w:t xml:space="preserve">The following detailed Bill of Materials (BOM) for gluhuipxdu is used to accurately assess the material acquisition and processing impacts. Emissions are calculated using the provided \'Total Carbon\' values, which already incorporate the \'Qty\' and \'Emission Factor\'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Wiring Harness</w:t>
            </w:r>
          </w:p>
        </w:tc>
        <w:tc>
          <w:tcPr/>
          <w:p>
            <w:pPr>
              <w:pStyle w:val="Compact"/>
              <w:jc w:val="left"/>
            </w:pPr>
            <w:r>
              <w:t xml:space="preserve">Metals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3.44</w:t>
            </w:r>
          </w:p>
        </w:tc>
      </w:tr>
    </w:tbl>
    <w:p>
      <w:pPr>
        <w:pStyle w:val="BodyText"/>
      </w:pPr>
      <w:r>
        <w:t xml:space="preserve">The total carbon footprint from raw material acquisition and processing (Scope 3, Category 1: Purchased Goods and Services) based on the provided BOM is 3.44 kg CO2e.</w:t>
      </w:r>
    </w:p>
    <w:bookmarkEnd w:id="28"/>
    <w:bookmarkStart w:id="29" w:name="production-phase-scope-1-2"/>
    <w:p>
      <w:pPr>
        <w:pStyle w:val="Heading3"/>
      </w:pPr>
      <w:r>
        <w:t xml:space="preserve">2.2 Production Phase (Scope 1 &amp; 2)</w:t>
      </w:r>
    </w:p>
    <w:p>
      <w:pPr>
        <w:pStyle w:val="FirstParagraph"/>
      </w:pPr>
      <w:r>
        <w:t xml:space="preserve">The production of gluhuipxdu takes place in China. Energy consumption for manufacturing is a significant contributor to the PCF.</w:t>
      </w:r>
    </w:p>
    <w:p>
      <w:pPr>
        <w:numPr>
          <w:ilvl w:val="0"/>
          <w:numId w:val="1005"/>
        </w:numPr>
        <w:pStyle w:val="Compact"/>
      </w:pPr>
      <w:r>
        <w:rPr>
          <w:bCs/>
          <w:b/>
        </w:rPr>
        <w:t xml:space="preserve">Energy Intensity (kWh/unit):</w:t>
      </w:r>
      <w:r>
        <w:t xml:space="preserve"> </w:t>
      </w:r>
      <w:r>
        <w:t xml:space="preserve">xupmovqkfo</w:t>
      </w:r>
    </w:p>
    <w:p>
      <w:pPr>
        <w:numPr>
          <w:ilvl w:val="0"/>
          <w:numId w:val="1005"/>
        </w:numPr>
        <w:pStyle w:val="Compact"/>
      </w:pPr>
      <w:r>
        <w:rPr>
          <w:bCs/>
          <w:b/>
        </w:rPr>
        <w:t xml:space="preserve">Renewable Energy Usage:</w:t>
      </w:r>
      <w:r>
        <w:t xml:space="preserve"> </w:t>
      </w:r>
      <w:r>
        <w:t xml:space="preserve">lnliqhpsfq</w:t>
      </w:r>
    </w:p>
    <w:p>
      <w:pPr>
        <w:pStyle w:val="FirstParagraph"/>
      </w:pPr>
      <w:r>
        <w:rPr>
          <w:bCs/>
          <w:b/>
        </w:rPr>
        <w:t xml:space="preserve">Assumptions for Calculation:</w:t>
      </w:r>
    </w:p>
    <w:p>
      <w:pPr>
        <w:numPr>
          <w:ilvl w:val="0"/>
          <w:numId w:val="1006"/>
        </w:numPr>
        <w:pStyle w:val="Compact"/>
      </w:pPr>
      <w:r>
        <w:t xml:space="preserve">For non-renewable energy, an average grid emission factor for China is used. China\'s national electricity carbon footprint for 2023 was 0.6205 kg CO₂e/kWh. The predicted carbon emission factor for China\'s electric power in 2025 is 0.6144 tCO2e/MWh (0.6144 kg CO2e/kWh).</w:t>
      </w:r>
    </w:p>
    <w:p>
      <w:pPr>
        <w:numPr>
          <w:ilvl w:val="0"/>
          <w:numId w:val="1006"/>
        </w:numPr>
        <w:pStyle w:val="Compact"/>
      </w:pPr>
      <w:r>
        <w:t xml:space="preserve">For renewable energy, a very low or zero upstream emission factor is typically applied, considering the nature of renewable sources.</w:t>
      </w:r>
    </w:p>
    <w:bookmarkEnd w:id="29"/>
    <w:bookmarkStart w:id="30" w:name="Xa72cd89f200eee69afd134ad22c65583d62e21f"/>
    <w:p>
      <w:pPr>
        <w:pStyle w:val="Heading3"/>
      </w:pPr>
      <w:r>
        <w:t xml:space="preserve">2.3 Transportation (Scope 3, Upstream &amp; Downstream)</w:t>
      </w:r>
    </w:p>
    <w:p>
      <w:pPr>
        <w:pStyle w:val="FirstParagraph"/>
      </w:pPr>
      <w:r>
        <w:t xml:space="preserve">Logistics play a crucial role in the overall carbon footprint, covering both inbound raw materials and outbound finished products.</w:t>
      </w:r>
    </w:p>
    <w:p>
      <w:pPr>
        <w:numPr>
          <w:ilvl w:val="0"/>
          <w:numId w:val="1007"/>
        </w:numPr>
        <w:pStyle w:val="Compact"/>
      </w:pPr>
      <w:r>
        <w:rPr>
          <w:bCs/>
          <w:b/>
        </w:rPr>
        <w:t xml:space="preserve">Transport Mode (Main):</w:t>
      </w:r>
      <w:r>
        <w:t xml:space="preserve"> </w:t>
      </w:r>
      <w:r>
        <w:t xml:space="preserve">Select Mode</w:t>
      </w:r>
    </w:p>
    <w:p>
      <w:pPr>
        <w:numPr>
          <w:ilvl w:val="0"/>
          <w:numId w:val="1007"/>
        </w:numPr>
        <w:pStyle w:val="Compact"/>
      </w:pPr>
      <w:r>
        <w:rPr>
          <w:bCs/>
          <w:b/>
        </w:rPr>
        <w:t xml:space="preserve">Transport Distance (Main):</w:t>
      </w:r>
      <w:r>
        <w:t xml:space="preserve"> </w:t>
      </w:r>
      <w:r>
        <w:t xml:space="preserve">qlejkspthg</w:t>
      </w:r>
    </w:p>
    <w:p>
      <w:pPr>
        <w:numPr>
          <w:ilvl w:val="0"/>
          <w:numId w:val="1007"/>
        </w:numPr>
        <w:pStyle w:val="Compact"/>
      </w:pPr>
      <w:r>
        <w:rPr>
          <w:bCs/>
          <w:b/>
        </w:rPr>
        <w:t xml:space="preserve">Last-Mile Delivery Channel:</w:t>
      </w:r>
      <w:r>
        <w:t xml:space="preserve"> </w:t>
      </w:r>
      <w:r>
        <w:t xml:space="preserve">Delivery Type</w:t>
      </w:r>
    </w:p>
    <w:p>
      <w:pPr>
        <w:pStyle w:val="FirstParagraph"/>
      </w:pPr>
      <w:r>
        <w:rPr>
          <w:bCs/>
          <w:b/>
        </w:rPr>
        <w:t xml:space="preserve">Assumptions for Calculation:</w:t>
      </w:r>
    </w:p>
    <w:p>
      <w:pPr>
        <w:numPr>
          <w:ilvl w:val="0"/>
          <w:numId w:val="1008"/>
        </w:numPr>
        <w:pStyle w:val="Compact"/>
      </w:pPr>
      <w:r>
        <w:t xml:space="preserve">Assuming \'Select Mode\' refers to road freight (e.g., Truck) for intra-European supply chain focus. EU heavy-duty vehicles for road transport account for over 6% of total EU GHG emissions. Specific CO2 emissions for urban delivery trucks can be around 307 gCO2/t-km, while long-haul tractor-trailers can be around 57 gCO2/t-km. For this report, an illustrative average emission factor for truck transport in Europe, such as 0.08 kg CO2e/tkm, will be used.</w:t>
      </w:r>
    </w:p>
    <w:p>
      <w:pPr>
        <w:numPr>
          <w:ilvl w:val="0"/>
          <w:numId w:val="1008"/>
        </w:numPr>
        <w:pStyle w:val="Compact"/>
      </w:pPr>
      <w:r>
        <w:t xml:space="preserve">\'Delivery Type\' for last-mile delivery. European standard EN 17837:2023 specifies methodology for calculating GHG emissions for parcel logistics delivery services. An illustrative emission factor for parcel post might be derived based on the weight of the product and the distance. For simplicity, an average factor for parcel delivery services will be assumed.</w:t>
      </w:r>
    </w:p>
    <w:p>
      <w:pPr>
        <w:numPr>
          <w:ilvl w:val="0"/>
          <w:numId w:val="1008"/>
        </w:numPr>
        <w:pStyle w:val="Compact"/>
      </w:pPr>
      <w:r>
        <w:t xml:space="preserve">Product weight is assumed to be the sum of BOM quantities for transport calculations (0.5 + 0.2 + 0.1 + 0.05 + 0.1 = 0.95 kg).</w:t>
      </w:r>
    </w:p>
    <w:bookmarkEnd w:id="30"/>
    <w:bookmarkStart w:id="31" w:name="use-phase-scope-3-downstream"/>
    <w:p>
      <w:pPr>
        <w:pStyle w:val="Heading3"/>
      </w:pPr>
      <w:r>
        <w:t xml:space="preserve">2.4 Use Phase (Scope 3, Downstream)</w:t>
      </w:r>
    </w:p>
    <w:p>
      <w:pPr>
        <w:pStyle w:val="FirstParagraph"/>
      </w:pPr>
      <w:r>
        <w:t xml:space="preserve">The energy consumption during the product\'s lifespan contributes to its overall footprint.</w:t>
      </w:r>
    </w:p>
    <w:p>
      <w:pPr>
        <w:numPr>
          <w:ilvl w:val="0"/>
          <w:numId w:val="1009"/>
        </w:numPr>
        <w:pStyle w:val="Compact"/>
      </w:pPr>
      <w:r>
        <w:rPr>
          <w:bCs/>
          <w:b/>
        </w:rPr>
        <w:t xml:space="preserve">Product Lifespan:</w:t>
      </w:r>
      <w:r>
        <w:t xml:space="preserve"> </w:t>
      </w:r>
      <w:r>
        <w:t xml:space="preserve">gpnipuzxnt</w:t>
      </w:r>
    </w:p>
    <w:p>
      <w:pPr>
        <w:numPr>
          <w:ilvl w:val="0"/>
          <w:numId w:val="1009"/>
        </w:numPr>
        <w:pStyle w:val="Compact"/>
      </w:pPr>
      <w:r>
        <w:rPr>
          <w:bCs/>
          <w:b/>
        </w:rPr>
        <w:t xml:space="preserve">Energy Consumption in Use:</w:t>
      </w:r>
      <w:r>
        <w:t xml:space="preserve"> </w:t>
      </w:r>
      <w:r>
        <w:t xml:space="preserve">iwhsjjyxxk (e.g., kWh/year)</w:t>
      </w:r>
    </w:p>
    <w:p>
      <w:pPr>
        <w:pStyle w:val="FirstParagraph"/>
      </w:pPr>
      <w:r>
        <w:rPr>
          <w:bCs/>
          <w:b/>
        </w:rPr>
        <w:t xml:space="preserve">Assumptions for Calculation:</w:t>
      </w:r>
    </w:p>
    <w:p>
      <w:pPr>
        <w:numPr>
          <w:ilvl w:val="0"/>
          <w:numId w:val="1010"/>
        </w:numPr>
        <w:pStyle w:val="Compact"/>
      </w:pPr>
      <w:r>
        <w:t xml:space="preserve">The electricity consumed during the use phase will be associated with an average grid emission factor relevant to the user\'s geographic location (assuming a global average or a representative regional grid mix if not specified). Ecoinvent and other databases provide life cycle emission factors for electricity grids in various countries. GHG Protocol Category 11: Use of Sold Products, provides guidance on calculating these emissions.</w:t>
      </w:r>
    </w:p>
    <w:bookmarkEnd w:id="31"/>
    <w:bookmarkStart w:id="32" w:name="X0b1a7869ec5c89eda6252c7ad7e638ee66010db"/>
    <w:p>
      <w:pPr>
        <w:pStyle w:val="Heading3"/>
      </w:pPr>
      <w:r>
        <w:t xml:space="preserve">2.5 End-of-Life (EoL) Scenarios (Scope 3, Downstream)</w:t>
      </w:r>
    </w:p>
    <w:p>
      <w:pPr>
        <w:pStyle w:val="FirstParagraph"/>
      </w:pPr>
      <w:r>
        <w:t xml:space="preserve">The handling of the product at the end of its useful life impacts its overall environmental footprint, influenced by recyclability and circular economy initiatives.</w:t>
      </w:r>
    </w:p>
    <w:p>
      <w:pPr>
        <w:numPr>
          <w:ilvl w:val="0"/>
          <w:numId w:val="1011"/>
        </w:numPr>
        <w:pStyle w:val="Compact"/>
      </w:pPr>
      <w:r>
        <w:rPr>
          <w:bCs/>
          <w:b/>
        </w:rPr>
        <w:t xml:space="preserve">Recyclability Percentage:</w:t>
      </w:r>
      <w:r>
        <w:t xml:space="preserve"> </w:t>
      </w:r>
      <w:r>
        <w:t xml:space="preserve">ofutuppqlf</w:t>
      </w:r>
    </w:p>
    <w:p>
      <w:pPr>
        <w:numPr>
          <w:ilvl w:val="0"/>
          <w:numId w:val="1011"/>
        </w:numPr>
        <w:pStyle w:val="Compact"/>
      </w:pPr>
      <w:r>
        <w:rPr>
          <w:bCs/>
          <w:b/>
        </w:rPr>
        <w:t xml:space="preserve">Circular/Take-back Programs:</w:t>
      </w:r>
      <w:r>
        <w:t xml:space="preserve"> </w:t>
      </w:r>
      <w:r>
        <w:t xml:space="preserve">jgfussiovj</w:t>
      </w:r>
    </w:p>
    <w:p>
      <w:pPr>
        <w:pStyle w:val="FirstParagraph"/>
      </w:pPr>
      <w:r>
        <w:rPr>
          <w:bCs/>
          <w:b/>
        </w:rPr>
        <w:t xml:space="preserve">Assumptions for Calculation:</w:t>
      </w:r>
    </w:p>
    <w:p>
      <w:pPr>
        <w:numPr>
          <w:ilvl w:val="0"/>
          <w:numId w:val="1012"/>
        </w:numPr>
        <w:pStyle w:val="Compact"/>
      </w:pPr>
      <w:r>
        <w:t xml:space="preserve">Emissions or avoided emissions from recycling are calculated based on the recyclability percentage. Recycling often reduces GHG emissions compared to manufacturing from virgin inputs.</w:t>
      </w:r>
    </w:p>
    <w:p>
      <w:pPr>
        <w:numPr>
          <w:ilvl w:val="0"/>
          <w:numId w:val="1012"/>
        </w:numPr>
        <w:pStyle w:val="Compact"/>
      </w:pPr>
      <w:r>
        <w:t xml:space="preserve">Emissions from disposal (e.g., landfilling) are considered for non-recycled portions. Landfilling of metals and plastics generally results in very low direct GHG emissions, with most impacts related to transport.</w:t>
      </w:r>
    </w:p>
    <w:p>
      <w:pPr>
        <w:numPr>
          <w:ilvl w:val="0"/>
          <w:numId w:val="1012"/>
        </w:numPr>
        <w:pStyle w:val="Compact"/>
      </w:pPr>
      <w:r>
        <w:t xml:space="preserve">Circular/take-back programs contribute to reduced virgin material use and proper end-of-life management.</w:t>
      </w:r>
    </w:p>
    <w:p>
      <w:r>
        <w:pict>
          <v:rect style="width:0;height:1.5pt" o:hralign="center" o:hrstd="t" o:hr="t"/>
        </w:pict>
      </w:r>
    </w:p>
    <w:bookmarkEnd w:id="32"/>
    <w:bookmarkEnd w:id="33"/>
    <w:bookmarkStart w:id="46" w:name="Xb404f6bea4a0013006ec7a9103609d9ea6643c1"/>
    <w:p>
      <w:pPr>
        <w:pStyle w:val="Heading2"/>
      </w:pPr>
      <w:r>
        <w:t xml:space="preserve">4. Calculate Emissions (Activity * Emission Factor = CO2e)</w:t>
      </w:r>
    </w:p>
    <w:p>
      <w:pPr>
        <w:pStyle w:val="FirstParagraph"/>
      </w:pPr>
      <w:r>
        <w:t xml:space="preserve">This section quantifies the greenhouse gas emissions for each life cycle stage, categorizing them according to the GHG Protocol\'s Scope 1, 2, and 3 definitions. Illustrative emission factors (EFs) are used where specific values were not provided for the generic parameters.</w:t>
      </w:r>
    </w:p>
    <w:bookmarkStart w:id="34" w:name="X7551c33f2365d45370796d44b31ed1c72f94bad"/>
    <w:p>
      <w:pPr>
        <w:pStyle w:val="Heading3"/>
      </w:pPr>
      <w:r>
        <w:t xml:space="preserve">4.1 Illustrative Emission Factors and Data Points Used</w:t>
      </w:r>
    </w:p>
    <w:p>
      <w:pPr>
        <w:numPr>
          <w:ilvl w:val="0"/>
          <w:numId w:val="1013"/>
        </w:numPr>
        <w:pStyle w:val="Compact"/>
      </w:pPr>
      <w:r>
        <w:rPr>
          <w:bCs/>
          <w:b/>
        </w:rPr>
        <w:t xml:space="preserve">China Grid Electricity EF (2025 projection):</w:t>
      </w:r>
      <w:r>
        <w:t xml:space="preserve"> </w:t>
      </w:r>
      <w:r>
        <w:t xml:space="preserve">0.6144 kg CO2e/kWh (for non-renewable portion)</w:t>
      </w:r>
    </w:p>
    <w:p>
      <w:pPr>
        <w:numPr>
          <w:ilvl w:val="0"/>
          <w:numId w:val="1013"/>
        </w:numPr>
        <w:pStyle w:val="Compact"/>
      </w:pPr>
      <w:r>
        <w:rPr>
          <w:bCs/>
          <w:b/>
        </w:rPr>
        <w:t xml:space="preserve">Renewable Electricity EF (Illustrative):</w:t>
      </w:r>
      <w:r>
        <w:t xml:space="preserve"> </w:t>
      </w:r>
      <w:r>
        <w:t xml:space="preserve">0.02 kg CO2e/kWh (for upstream infrastructure/losses)</w:t>
      </w:r>
    </w:p>
    <w:p>
      <w:pPr>
        <w:numPr>
          <w:ilvl w:val="0"/>
          <w:numId w:val="1013"/>
        </w:numPr>
        <w:pStyle w:val="Compact"/>
      </w:pPr>
      <w:r>
        <w:rPr>
          <w:bCs/>
          <w:b/>
        </w:rPr>
        <w:t xml:space="preserve">Truck Transport EF (Europe, average freight):</w:t>
      </w:r>
      <w:r>
        <w:t xml:space="preserve"> </w:t>
      </w:r>
      <w:r>
        <w:t xml:space="preserve">0.08 kg CO2e/tkm</w:t>
      </w:r>
    </w:p>
    <w:p>
      <w:pPr>
        <w:numPr>
          <w:ilvl w:val="0"/>
          <w:numId w:val="1013"/>
        </w:numPr>
        <w:pStyle w:val="Compact"/>
      </w:pPr>
      <w:r>
        <w:rPr>
          <w:bCs/>
          <w:b/>
        </w:rPr>
        <w:t xml:space="preserve">Parcel Post Delivery EF (Europe, illustrative):</w:t>
      </w:r>
      <w:r>
        <w:t xml:space="preserve"> </w:t>
      </w:r>
      <w:r>
        <w:t xml:space="preserve">0.2 kg CO2e/parcel-km (variable, highly dependent on actual distance and vehicle load)</w:t>
      </w:r>
    </w:p>
    <w:p>
      <w:pPr>
        <w:numPr>
          <w:ilvl w:val="0"/>
          <w:numId w:val="1013"/>
        </w:numPr>
        <w:pStyle w:val="Compact"/>
      </w:pPr>
      <w:r>
        <w:rPr>
          <w:bCs/>
          <w:b/>
        </w:rPr>
        <w:t xml:space="preserve">End-of-Life Disposal EF (Illustrative, landfill):</w:t>
      </w:r>
      <w:r>
        <w:t xml:space="preserve"> </w:t>
      </w:r>
      <w:r>
        <w:t xml:space="preserve">0.03 kg CO2e/kg (for plastics, minimal direct GHG from landfilling)</w:t>
      </w:r>
    </w:p>
    <w:p>
      <w:pPr>
        <w:numPr>
          <w:ilvl w:val="0"/>
          <w:numId w:val="1013"/>
        </w:numPr>
        <w:pStyle w:val="Compact"/>
      </w:pPr>
      <w:r>
        <w:rPr>
          <w:bCs/>
          <w:b/>
        </w:rPr>
        <w:t xml:space="preserve">End-of-Life Recycling Credit (Illustrative, mixed materials):</w:t>
      </w:r>
      <w:r>
        <w:t xml:space="preserve"> </w:t>
      </w:r>
      <w:r>
        <w:t xml:space="preserve">-1.5 kg CO2e/kg (avoided emissions from virgin material production)</w:t>
      </w:r>
    </w:p>
    <w:bookmarkEnd w:id="34"/>
    <w:bookmarkStart w:id="45" w:name="emission-calculation-breakdown"/>
    <w:p>
      <w:pPr>
        <w:pStyle w:val="Heading3"/>
      </w:pPr>
      <w:r>
        <w:t xml:space="preserve">4.2 Emission Calculation Breakdown</w:t>
      </w:r>
    </w:p>
    <w:bookmarkStart w:id="35" w:name="X4a0967fde2e57d68680411754f837a570478ba8"/>
    <w:p>
      <w:pPr>
        <w:pStyle w:val="Heading4"/>
      </w:pPr>
      <w:r>
        <w:t xml:space="preserve">4.2.1 Scope 1: Direct Emissions (Operational Control)</w:t>
      </w:r>
    </w:p>
    <w:p>
      <w:pPr>
        <w:pStyle w:val="FirstParagraph"/>
      </w:pPr>
      <w:r>
        <w:t xml:space="preserve">For a \'factory_gate\' boundary, Scope 1 emissions typically include direct emissions from owned or controlled sources, such as fuel combustion in manufacturing processes or company-owned vehicles within the factory premises. As no specific direct fuel consumption data for gluhuipxdu\'s manufacturing process was provided, we assume these are either negligible or aggregated into purchased energy. If direct fuel combustion occurred (e.g., for heating or specific processes not covered by electricity), this would be quantified here.</w:t>
      </w:r>
    </w:p>
    <w:p>
      <w:pPr>
        <w:numPr>
          <w:ilvl w:val="0"/>
          <w:numId w:val="1014"/>
        </w:numPr>
        <w:pStyle w:val="Compact"/>
      </w:pPr>
      <w:r>
        <w:rPr>
          <w:bCs/>
          <w:b/>
        </w:rPr>
        <w:t xml:space="preserve">Assumed Scope 1 Emissions:</w:t>
      </w:r>
      <w:r>
        <w:t xml:space="preserve"> </w:t>
      </w:r>
      <w:r>
        <w:t xml:space="preserve">0.00 kg CO2e (assuming all energy is purchased electricity or material processes are included in Scope 3 upstream. If on-site fuel combustion data were provided, it would be calculated here.)</w:t>
      </w:r>
    </w:p>
    <w:bookmarkEnd w:id="35"/>
    <w:bookmarkStart w:id="36" w:name="Xc7742137c6c486879d4dd322965601cca425bf2"/>
    <w:p>
      <w:pPr>
        <w:pStyle w:val="Heading4"/>
      </w:pPr>
      <w:r>
        <w:t xml:space="preserve">4.2.2 Scope 2: Energy Indirect Emissions (Purchased Energy)</w:t>
      </w:r>
    </w:p>
    <w:p>
      <w:pPr>
        <w:pStyle w:val="FirstParagraph"/>
      </w:pPr>
      <w:r>
        <w:t xml:space="preserve">These emissions result from the generation of purchased electricity, steam, heating, or cooling consumed by iujmpoummd for the manufacturing of gluhuipxdu in China.</w:t>
      </w:r>
    </w:p>
    <w:p>
      <w:pPr>
        <w:numPr>
          <w:ilvl w:val="0"/>
          <w:numId w:val="1015"/>
        </w:numPr>
        <w:pStyle w:val="Compact"/>
      </w:pPr>
      <w:r>
        <w:t xml:space="preserve">Total Energy Consumption (per unit): xupmovqkfo kWh</w:t>
      </w:r>
    </w:p>
    <w:p>
      <w:pPr>
        <w:numPr>
          <w:ilvl w:val="0"/>
          <w:numId w:val="1015"/>
        </w:numPr>
        <w:pStyle w:val="Compact"/>
      </w:pPr>
      <w:r>
        <w:t xml:space="preserve">Renewable Energy Share: lnliqhpsfq (e.g., 60%)</w:t>
      </w:r>
    </w:p>
    <w:p>
      <w:pPr>
        <w:numPr>
          <w:ilvl w:val="0"/>
          <w:numId w:val="1015"/>
        </w:numPr>
        <w:pStyle w:val="Compact"/>
      </w:pPr>
      <w:r>
        <w:t xml:space="preserve">Non-Renewable Energy Share: (1 - lnliqhpsfq)</w:t>
      </w:r>
    </w:p>
    <w:p>
      <w:pPr>
        <w:numPr>
          <w:ilvl w:val="0"/>
          <w:numId w:val="1015"/>
        </w:numPr>
        <w:pStyle w:val="Compact"/>
      </w:pPr>
      <w:r>
        <w:t xml:space="preserve">Non-Renewable Energy Consumption: xupmovqkfo * (1 - lnliqhpsfq) = `{{xupmovqkfo}} * (1 - {{lnliqhpsfq}})` kWh</w:t>
      </w:r>
    </w:p>
    <w:p>
      <w:pPr>
        <w:numPr>
          <w:ilvl w:val="0"/>
          <w:numId w:val="1015"/>
        </w:numPr>
        <w:pStyle w:val="Compact"/>
      </w:pPr>
      <w:r>
        <w:t xml:space="preserve">Renewable Energy Consumption: xupmovqkfo * lnliqhpsfq = `{{xupmovqkfo}} * {{lnliqhpsfq}}` kWh</w:t>
      </w:r>
    </w:p>
    <w:p>
      <w:pPr>
        <w:numPr>
          <w:ilvl w:val="0"/>
          <w:numId w:val="1015"/>
        </w:numPr>
        <w:pStyle w:val="Compact"/>
      </w:pPr>
      <w:r>
        <w:t xml:space="preserve">Emissions from Non-Renewable Electricity: `{{xupmovqkfo}} * (1 - {{lnliqhpsfq}})` kWh * 0.6144 kg CO2e/kWh =</w:t>
      </w:r>
      <w:r>
        <w:t xml:space="preserve"> </w:t>
      </w:r>
      <w:r>
        <w:rPr>
          <w:bCs/>
          <w:b/>
        </w:rPr>
        <w:t xml:space="preserve">`{{ xupmovqkfo * (1 - lnliqhpsfq) * 0.6144 }} ` kg CO2e</w:t>
      </w:r>
    </w:p>
    <w:p>
      <w:pPr>
        <w:numPr>
          <w:ilvl w:val="0"/>
          <w:numId w:val="1015"/>
        </w:numPr>
        <w:pStyle w:val="Compact"/>
      </w:pPr>
      <w:r>
        <w:t xml:space="preserve">Emissions from Renewable Electricity (Upstream): `{{xupmovqkfo}} * {{lnliqhpsfq}}` kWh * 0.02 kg CO2e/kWh =</w:t>
      </w:r>
      <w:r>
        <w:t xml:space="preserve"> </w:t>
      </w:r>
      <w:r>
        <w:rPr>
          <w:bCs/>
          <w:b/>
        </w:rPr>
        <w:t xml:space="preserve">`{{ xupmovqkfo * lnliqhpsfq * 0.02 }} ` kg CO2e</w:t>
      </w:r>
    </w:p>
    <w:p>
      <w:pPr>
        <w:numPr>
          <w:ilvl w:val="0"/>
          <w:numId w:val="1015"/>
        </w:numPr>
        <w:pStyle w:val="Compact"/>
      </w:pPr>
      <w:r>
        <w:rPr>
          <w:bCs/>
          <w:b/>
        </w:rPr>
        <w:t xml:space="preserve">Total Scope 2 Emissions:</w:t>
      </w:r>
      <w:r>
        <w:t xml:space="preserve"> </w:t>
      </w:r>
      <w:r>
        <w:rPr>
          <w:bCs/>
          <w:b/>
        </w:rPr>
        <w:t xml:space="preserve">`{{ xupmovqkfo * (1 - lnliqhpsfq) * 0.6144 + xupmovqkfo * lnliqhpsfq * 0.02 }} ` kg CO2e</w:t>
      </w:r>
    </w:p>
    <w:p>
      <w:pPr>
        <w:pStyle w:val="FirstParagraph"/>
      </w:pPr>
      <w:r>
        <w:rPr>
          <w:iCs/>
          <w:i/>
        </w:rPr>
        <w:t xml:space="preserve">(Note: For the purpose of this report, placeholder values are assumed for calculation. If `xupmovqkfo`=15 kWh and `lnliqhpsfq`=0.6, then Non-Renewable = 15*0.4=6 kWh, Renewable = 15*0.6=9 kWh. Scope 2 Emissions = (6 * 0.6144) + (9 * 0.02) = 3.6864 + 0.18 = 3.8664 kg CO2e)</w:t>
      </w:r>
    </w:p>
    <w:bookmarkEnd w:id="36"/>
    <w:bookmarkStart w:id="43" w:name="X587318600d1abb6b2ca9944db25f8225e73de31"/>
    <w:p>
      <w:pPr>
        <w:pStyle w:val="Heading4"/>
      </w:pPr>
      <w:r>
        <w:t xml:space="preserve">4.2.3 Scope 3: Value Chain Emissions (Upstream &amp; Downstream)</w:t>
      </w:r>
    </w:p>
    <w:bookmarkStart w:id="37" w:name="Xd2afc350fd9ea64645be39a78640705471d290a"/>
    <w:p>
      <w:pPr>
        <w:pStyle w:val="Heading5"/>
      </w:pPr>
      <w:r>
        <w:t xml:space="preserve">4.2.3.1 Category 1: Purchased Goods and Services (Upstream)</w:t>
      </w:r>
    </w:p>
    <w:p>
      <w:pPr>
        <w:pStyle w:val="FirstParagraph"/>
      </w:pPr>
      <w:r>
        <w:t xml:space="preserve">This includes the emissions from the extraction, production, and transportation of raw materials and components (BOM) for gluhuipxdu.</w:t>
      </w:r>
    </w:p>
    <w:p>
      <w:pPr>
        <w:numPr>
          <w:ilvl w:val="0"/>
          <w:numId w:val="1016"/>
        </w:numPr>
        <w:pStyle w:val="Compact"/>
      </w:pPr>
      <w:r>
        <w:rPr>
          <w:bCs/>
          <w:b/>
        </w:rPr>
        <w:t xml:space="preserve">Total Material Carbon Footprint:</w:t>
      </w:r>
      <w:r>
        <w:t xml:space="preserve"> </w:t>
      </w:r>
      <w:r>
        <w:t xml:space="preserve">3.44 kg CO2e (from BOM table)</w:t>
      </w:r>
    </w:p>
    <w:bookmarkEnd w:id="37"/>
    <w:bookmarkStart w:id="38" w:name="X171f0d3284324fc9b7aef9773a53d3587b6245b"/>
    <w:p>
      <w:pPr>
        <w:pStyle w:val="Heading5"/>
      </w:pPr>
      <w:r>
        <w:t xml:space="preserve">4.2.3.2 Category 4: Upstream Transportation and Distribution (Upstream)</w:t>
      </w:r>
    </w:p>
    <w:p>
      <w:pPr>
        <w:pStyle w:val="FirstParagraph"/>
      </w:pPr>
      <w:r>
        <w:t xml:space="preserve">This covers the transportation of raw materials and components from suppliers to the manufacturing facility in China.</w:t>
      </w:r>
    </w:p>
    <w:p>
      <w:pPr>
        <w:numPr>
          <w:ilvl w:val="0"/>
          <w:numId w:val="1017"/>
        </w:numPr>
        <w:pStyle w:val="Compact"/>
      </w:pPr>
      <w:r>
        <w:t xml:space="preserve">Product Weight: 0.95 kg</w:t>
      </w:r>
    </w:p>
    <w:p>
      <w:pPr>
        <w:numPr>
          <w:ilvl w:val="0"/>
          <w:numId w:val="1017"/>
        </w:numPr>
        <w:pStyle w:val="Compact"/>
      </w:pPr>
      <w:r>
        <w:t xml:space="preserve">Transport Distance: qlejkspthg (e.g., "1000 km")</w:t>
      </w:r>
    </w:p>
    <w:p>
      <w:pPr>
        <w:numPr>
          <w:ilvl w:val="0"/>
          <w:numId w:val="1017"/>
        </w:numPr>
        <w:pStyle w:val="Compact"/>
      </w:pPr>
      <w:r>
        <w:t xml:space="preserve">Transport Mode: Select Mode (e.g., "Truck")</w:t>
      </w:r>
    </w:p>
    <w:p>
      <w:pPr>
        <w:numPr>
          <w:ilvl w:val="0"/>
          <w:numId w:val="1017"/>
        </w:numPr>
        <w:pStyle w:val="Compact"/>
      </w:pPr>
      <w:r>
        <w:t xml:space="preserve">Illustrative Upstream Transport Emissions: 0.95 kg * (qlejkspthg as float / 1000) t * 0.08 kg CO2e/tkm =</w:t>
      </w:r>
      <w:r>
        <w:t xml:space="preserve"> </w:t>
      </w:r>
      <w:r>
        <w:rPr>
          <w:bCs/>
          <w:b/>
        </w:rPr>
        <w:t xml:space="preserve">`{{ 0.95 * (float(qlejkspthg.replace(\' km\', \'\')) / 1000) * 0.08 }}` kg CO2e</w:t>
      </w:r>
    </w:p>
    <w:p>
      <w:pPr>
        <w:pStyle w:val="FirstParagraph"/>
      </w:pPr>
      <w:r>
        <w:rPr>
          <w:iCs/>
          <w:i/>
        </w:rPr>
        <w:t xml:space="preserve">(Note: If `qlejkspthg`=1000 km, then Upstream Transport = 0.95 * 1 * 0.08 = 0.076 kg CO2e)</w:t>
      </w:r>
    </w:p>
    <w:bookmarkEnd w:id="38"/>
    <w:bookmarkStart w:id="39" w:name="X1b4094cda06d9a1f998476e97d6a57594c0a4b2"/>
    <w:p>
      <w:pPr>
        <w:pStyle w:val="Heading5"/>
      </w:pPr>
      <w:r>
        <w:t xml:space="preserve">4.2.3.3 Category 9: Downstream Transportation and Distribution (Downstream)</w:t>
      </w:r>
    </w:p>
    <w:p>
      <w:pPr>
        <w:pStyle w:val="FirstParagraph"/>
      </w:pPr>
      <w:r>
        <w:t xml:space="preserve">This includes the transportation of the final product from the factory gate to the customer, including last-mile delivery.</w:t>
      </w:r>
    </w:p>
    <w:p>
      <w:pPr>
        <w:numPr>
          <w:ilvl w:val="0"/>
          <w:numId w:val="1018"/>
        </w:numPr>
        <w:pStyle w:val="Compact"/>
      </w:pPr>
      <w:r>
        <w:t xml:space="preserve">Product Weight: 0.95 kg</w:t>
      </w:r>
    </w:p>
    <w:p>
      <w:pPr>
        <w:numPr>
          <w:ilvl w:val="0"/>
          <w:numId w:val="1018"/>
        </w:numPr>
        <w:pStyle w:val="Compact"/>
      </w:pPr>
      <w:r>
        <w:t xml:space="preserve">Transport Distance: qlejkspthg (e.g., "1000 km" for main transport)</w:t>
      </w:r>
    </w:p>
    <w:p>
      <w:pPr>
        <w:numPr>
          <w:ilvl w:val="0"/>
          <w:numId w:val="1018"/>
        </w:numPr>
        <w:pStyle w:val="Compact"/>
      </w:pPr>
      <w:r>
        <w:t xml:space="preserve">Main Transport Mode: Select Mode (e.g., "Truck")</w:t>
      </w:r>
    </w:p>
    <w:p>
      <w:pPr>
        <w:numPr>
          <w:ilvl w:val="0"/>
          <w:numId w:val="1018"/>
        </w:numPr>
        <w:pStyle w:val="Compact"/>
      </w:pPr>
      <w:r>
        <w:t xml:space="preserve">Last-Mile Delivery Channel: Delivery Type (e.g., "Parcel Post")</w:t>
      </w:r>
    </w:p>
    <w:p>
      <w:pPr>
        <w:numPr>
          <w:ilvl w:val="0"/>
          <w:numId w:val="1018"/>
        </w:numPr>
        <w:pStyle w:val="Compact"/>
      </w:pPr>
      <w:r>
        <w:t xml:space="preserve">Illustrative Main Transport Emissions: 0.95 kg * (qlejkspthg as float / 1000) t * 0.08 kg CO2e/tkm =</w:t>
      </w:r>
      <w:r>
        <w:t xml:space="preserve"> </w:t>
      </w:r>
      <w:r>
        <w:rPr>
          <w:bCs/>
          <w:b/>
        </w:rPr>
        <w:t xml:space="preserve">`{{ 0.95 * (float(qlejkspthg.replace(\' km\', \'\')) / 1000) * 0.08 }}` kg CO2e</w:t>
      </w:r>
    </w:p>
    <w:p>
      <w:pPr>
        <w:numPr>
          <w:ilvl w:val="0"/>
          <w:numId w:val="1018"/>
        </w:numPr>
        <w:pStyle w:val="Compact"/>
      </w:pPr>
      <w:r>
        <w:t xml:space="preserve">Illustrative Last-Mile Emissions (assuming a short last-mile distance, e.g., 50km and parcel-specific EF): (0.95 kg product / 1 unit) * 50 km * 0.2 kg CO2e/parcel-km (illustrative for parcel post with some volume allocation) =</w:t>
      </w:r>
      <w:r>
        <w:t xml:space="preserve"> </w:t>
      </w:r>
      <w:r>
        <w:rPr>
          <w:bCs/>
          <w:b/>
        </w:rPr>
        <w:t xml:space="preserve">`{{ 0.95 * 50 * 0.2 }}` kg CO2e</w:t>
      </w:r>
    </w:p>
    <w:p>
      <w:pPr>
        <w:pStyle w:val="FirstParagraph"/>
      </w:pPr>
      <w:r>
        <w:rPr>
          <w:iCs/>
          <w:i/>
        </w:rPr>
        <w:t xml:space="preserve">(Note: If `qlejkspthg`=1000 km, then Main Transport = 0.95 * 1 * 0.08 = 0.076 kg CO2e. Last-Mile = 9.5 kg CO2e)</w:t>
      </w:r>
    </w:p>
    <w:bookmarkEnd w:id="39"/>
    <w:bookmarkStart w:id="40" w:name="Xe0cdf82e37eae19a4cdef6b47f9b47b5568ac54"/>
    <w:p>
      <w:pPr>
        <w:pStyle w:val="Heading5"/>
      </w:pPr>
      <w:r>
        <w:t xml:space="preserve">4.2.3.4 Category 11: Use of Sold Products (Downstream)</w:t>
      </w:r>
    </w:p>
    <w:p>
      <w:pPr>
        <w:pStyle w:val="FirstParagraph"/>
      </w:pPr>
      <w:r>
        <w:t xml:space="preserve">Emissions from the energy consumption during the product\'s lifespan.</w:t>
      </w:r>
    </w:p>
    <w:p>
      <w:pPr>
        <w:numPr>
          <w:ilvl w:val="0"/>
          <w:numId w:val="1019"/>
        </w:numPr>
        <w:pStyle w:val="Compact"/>
      </w:pPr>
      <w:r>
        <w:t xml:space="preserve">Product Lifespan: gpnipuzxnt (e.g., "5 years")</w:t>
      </w:r>
    </w:p>
    <w:p>
      <w:pPr>
        <w:numPr>
          <w:ilvl w:val="0"/>
          <w:numId w:val="1019"/>
        </w:numPr>
        <w:pStyle w:val="Compact"/>
      </w:pPr>
      <w:r>
        <w:t xml:space="preserve">Energy Consumption in Use: iwhsjjyxxk (e.g., "10 kWh/year")</w:t>
      </w:r>
    </w:p>
    <w:p>
      <w:pPr>
        <w:numPr>
          <w:ilvl w:val="0"/>
          <w:numId w:val="1019"/>
        </w:numPr>
        <w:pStyle w:val="Compact"/>
      </w:pPr>
      <w:r>
        <w:t xml:space="preserve">Illustrative Use Phase Emissions: (gpnipuzxnt as float) years * (iwhsjjyxxk as float) kWh/year * 0.6144 kg CO2e/kWh (assuming average global grid mix for use phase if not specified, or China\'s grid as a proxy) =</w:t>
      </w:r>
      <w:r>
        <w:t xml:space="preserve"> </w:t>
      </w:r>
      <w:r>
        <w:rPr>
          <w:bCs/>
          <w:b/>
        </w:rPr>
        <w:t xml:space="preserve">`{{ float(gpnipuzxnt.replace(\' years\', \'\')) * float(iwhsjjyxxk.replace(\' kWh/year\', \'\')) * 0.6144 }}` kg CO2e</w:t>
      </w:r>
    </w:p>
    <w:p>
      <w:pPr>
        <w:pStyle w:val="FirstParagraph"/>
      </w:pPr>
      <w:r>
        <w:rPr>
          <w:iCs/>
          <w:i/>
        </w:rPr>
        <w:t xml:space="preserve">(Note: If `gpnipuzxnt`=5 years and `iwhsjjyxxk`=10 kWh/year, then Use Phase = 5 * 10 * 0.6144 = 30.72 kg CO2e)</w:t>
      </w:r>
    </w:p>
    <w:bookmarkEnd w:id="40"/>
    <w:bookmarkStart w:id="41" w:name="X3bc90abbe2e1645b72b978af62b5f16ed4da77f"/>
    <w:p>
      <w:pPr>
        <w:pStyle w:val="Heading5"/>
      </w:pPr>
      <w:r>
        <w:t xml:space="preserve">4.2.3.5 Category 12: End-of-Life Treatment of Sold Products (Downstream)</w:t>
      </w:r>
    </w:p>
    <w:p>
      <w:pPr>
        <w:pStyle w:val="FirstParagraph"/>
      </w:pPr>
      <w:r>
        <w:t xml:space="preserve">Emissions and/or avoided emissions from disposal or recycling.</w:t>
      </w:r>
    </w:p>
    <w:p>
      <w:pPr>
        <w:numPr>
          <w:ilvl w:val="0"/>
          <w:numId w:val="1020"/>
        </w:numPr>
        <w:pStyle w:val="Compact"/>
      </w:pPr>
      <w:r>
        <w:t xml:space="preserve">Recyclability Percentage: ofutuppqlf (e.g., "70%")</w:t>
      </w:r>
    </w:p>
    <w:p>
      <w:pPr>
        <w:numPr>
          <w:ilvl w:val="0"/>
          <w:numId w:val="1020"/>
        </w:numPr>
        <w:pStyle w:val="Compact"/>
      </w:pPr>
      <w:r>
        <w:t xml:space="preserve">Circular/Take-back Programs: jgfussiovj (e.g., "Product Take-back Program")</w:t>
      </w:r>
    </w:p>
    <w:p>
      <w:pPr>
        <w:numPr>
          <w:ilvl w:val="0"/>
          <w:numId w:val="1020"/>
        </w:numPr>
        <w:pStyle w:val="Compact"/>
      </w:pPr>
      <w:r>
        <w:t xml:space="preserve">Product Weight for EoL: 0.95 kg</w:t>
      </w:r>
    </w:p>
    <w:p>
      <w:pPr>
        <w:numPr>
          <w:ilvl w:val="0"/>
          <w:numId w:val="1020"/>
        </w:numPr>
        <w:pStyle w:val="Compact"/>
      </w:pPr>
      <w:r>
        <w:t xml:space="preserve">Recycled Portion: 0.95 kg * (ofutuppqlf as float / 100) = `{{ 0.95 * (float(ofutuppqlf.replace(\'%\', \'\')) / 100) }}` kg</w:t>
      </w:r>
    </w:p>
    <w:p>
      <w:pPr>
        <w:numPr>
          <w:ilvl w:val="0"/>
          <w:numId w:val="1020"/>
        </w:numPr>
        <w:pStyle w:val="Compact"/>
      </w:pPr>
      <w:r>
        <w:t xml:space="preserve">Disposed Portion: 0.95 kg * (1 - (ofutuppqlf as float / 100)) = `{{ 0.95 * (1 - (float(ofutuppqlf.replace(\'%\', \'\')) / 100)) }}` kg</w:t>
      </w:r>
    </w:p>
    <w:p>
      <w:pPr>
        <w:numPr>
          <w:ilvl w:val="0"/>
          <w:numId w:val="1020"/>
        </w:numPr>
        <w:pStyle w:val="Compact"/>
      </w:pPr>
      <w:r>
        <w:t xml:space="preserve">Illustrative Recycling Benefit: `{{ 0.95 * (float(ofutuppqlf.replace(\'%\', \'\')) / 100) }}` kg * -1.5 kg CO2e/kg =</w:t>
      </w:r>
      <w:r>
        <w:t xml:space="preserve"> </w:t>
      </w:r>
      <w:r>
        <w:rPr>
          <w:bCs/>
          <w:b/>
        </w:rPr>
        <w:t xml:space="preserve">`{{ 0.95 * (float(ofutuppqlf.replace(\'%\', \'\')) / 100) * -1.5 }}` kg CO2e</w:t>
      </w:r>
      <w:r>
        <w:t xml:space="preserve"> </w:t>
      </w:r>
      <w:r>
        <w:t xml:space="preserve">(negative for avoided emissions)</w:t>
      </w:r>
    </w:p>
    <w:p>
      <w:pPr>
        <w:numPr>
          <w:ilvl w:val="0"/>
          <w:numId w:val="1020"/>
        </w:numPr>
        <w:pStyle w:val="Compact"/>
      </w:pPr>
      <w:r>
        <w:t xml:space="preserve">Illustrative Disposal Emissions: `{{ 0.95 * (1 - (float(ofutuppqlf.replace(\'%\', \'\')) / 100)) }}` kg * 0.03 kg CO2e/kg =</w:t>
      </w:r>
      <w:r>
        <w:t xml:space="preserve"> </w:t>
      </w:r>
      <w:r>
        <w:rPr>
          <w:bCs/>
          <w:b/>
        </w:rPr>
        <w:t xml:space="preserve">`{{ 0.95 * (1 - (float(ofutuppqlf.replace(\'%\', \'\')) / 100)) * 0.03 }}` kg CO2e</w:t>
      </w:r>
    </w:p>
    <w:p>
      <w:pPr>
        <w:pStyle w:val="FirstParagraph"/>
      </w:pPr>
      <w:r>
        <w:rPr>
          <w:iCs/>
          <w:i/>
        </w:rPr>
        <w:t xml:space="preserve">(Note: If `ofutuppqlf`=70%, then Recycled = 0.95*0.7=0.665 kg, Disposed = 0.95*0.3=0.285 kg. Recycling Benefit = 0.665 * -1.5 = -0.9975 kg CO2e. Disposal Emissions = 0.285 * 0.03 = 0.00855 kg CO2e. Total EoL = -0.98895 kg CO2e)</w:t>
      </w:r>
    </w:p>
    <w:p>
      <w:pPr>
        <w:pStyle w:val="BodyText"/>
      </w:pPr>
      <w:r>
        <w:t xml:space="preserve">The existence of a \'jgfussiovj\' (e.g., "Product Take-back Program") further enhances circularity and data collection for EoL, contributing to better accuracy and potential emission reductions in future product cycles.</w:t>
      </w:r>
    </w:p>
    <w:bookmarkEnd w:id="41"/>
    <w:bookmarkStart w:id="42" w:name="X13a5401f90fa37ad68f594f4de70ce4ec69a121"/>
    <w:p>
      <w:pPr>
        <w:pStyle w:val="Heading5"/>
      </w:pPr>
      <w:r>
        <w:t xml:space="preserve">4.2.3.6 Land Sector and Removals (LSR) Standard Application (Scope 3)</w:t>
      </w:r>
    </w:p>
    <w:p>
      <w:pPr>
        <w:pStyle w:val="FirstParagraph"/>
      </w:pPr>
      <w:r>
        <w:t xml:space="preserve">As per the 2026 LSR Update, emissions and removals related to land use are to be accounted for. While specific data for land use in gluhuipxdu\'s supply chain is not provided, this report acknowledges its relevance. For instance, if raw materials originate from agricultural lands or forestry, emissions from land-use change, deforestation, or benefits from sustainable land management/reforestation activities would be quantified here. The LSR Standard, effective January 1, 2027, helps companies account for land emissions and CO2 removals, building on the Corporate Standard and Scope 3 Standard.</w:t>
      </w:r>
    </w:p>
    <w:p>
      <w:pPr>
        <w:numPr>
          <w:ilvl w:val="0"/>
          <w:numId w:val="1021"/>
        </w:numPr>
        <w:pStyle w:val="Compact"/>
      </w:pPr>
      <w:r>
        <w:rPr>
          <w:bCs/>
          <w:b/>
        </w:rPr>
        <w:t xml:space="preserve">Illustrative LSR Impact:</w:t>
      </w:r>
      <w:r>
        <w:t xml:space="preserve"> </w:t>
      </w:r>
      <w:r>
        <w:t xml:space="preserve">0.00 kg CO2e (requires specific land-use data; placeholder for this report)</w:t>
      </w:r>
    </w:p>
    <w:bookmarkEnd w:id="42"/>
    <w:bookmarkEnd w:id="43"/>
    <w:bookmarkStart w:id="44" w:name="Xfd3c069b9967b6074c128a229210afea03ed279"/>
    <w:p>
      <w:pPr>
        <w:pStyle w:val="Heading4"/>
      </w:pPr>
      <w:r>
        <w:t xml:space="preserve">4.2.4 Summary of Carbon Footprint by Scope (Illustrative Calculation)</w:t>
      </w:r>
    </w:p>
    <w:p>
      <w:pPr>
        <w:pStyle w:val="FirstParagraph"/>
      </w:pPr>
      <w:r>
        <w:t xml:space="preserve">Assuming the placeholder values used in the notes above for calculation demonstration: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3.87</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3.44</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0.08</w:t>
            </w:r>
          </w:p>
        </w:tc>
      </w:tr>
      <w:tr>
        <w:tc>
          <w:tcPr>
            <w:gridSpan w:val="1"/>
            <w:vMerge w:val="continue"/>
          </w:tcPr>
          <w:p>
            <w:pPr/>
          </w:p>
        </w:tc>
        <w:tc>
          <w:tcPr/>
          <w:p>
            <w:pPr>
              <w:pStyle w:val="Compact"/>
              <w:jc w:val="left"/>
            </w:pPr>
            <w:r>
              <w:t xml:space="preserve">Category 9: Downstream Transportation and Distribution (Main &amp; Last-Mile)</w:t>
            </w:r>
          </w:p>
        </w:tc>
        <w:tc>
          <w:tcPr/>
          <w:p>
            <w:pPr>
              <w:pStyle w:val="Compact"/>
              <w:jc w:val="left"/>
            </w:pPr>
            <w:r>
              <w:t xml:space="preserve">9.58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30.72</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-0.99</w:t>
            </w:r>
          </w:p>
        </w:tc>
      </w:tr>
      <w:tr>
        <w:tc>
          <w:tcPr>
            <w:gridSpan w:val="2"/>
          </w:tcPr>
          <w:p>
            <w:pPr>
              <w:pStyle w:val="Compact"/>
              <w:jc w:val="left"/>
            </w:pPr>
            <w:r>
              <w:rPr>
                <w:bCs/>
                <w:b/>
              </w:rPr>
              <w:t xml:space="preserve">Total Product Carbon Footprint (Illustrative)</w:t>
            </w:r>
          </w:p>
        </w:tc>
        <w:tc>
          <w:tcPr/>
          <w:p>
            <w:pPr>
              <w:pStyle w:val="Compact"/>
              <w:jc w:val="left"/>
            </w:pPr>
            <w:r>
              <w:rPr>
                <w:bCs/>
                <w:b/>
              </w:rPr>
              <w:t xml:space="preserve">46.70</w:t>
            </w:r>
          </w:p>
        </w:tc>
      </w:tr>
    </w:tbl>
    <w:p>
      <w:pPr>
        <w:pStyle w:val="BodyText"/>
      </w:pPr>
      <w:r>
        <w:t xml:space="preserve">This illustrative total of 46.70 kg CO2e represents the cradle-to-grave carbon footprint for one unit of gluhuipxdu, based on the provided parameters and assumed generic emission factors. The Use Phase appears to be the most significant hotspot in this illustrative example.</w:t>
      </w:r>
    </w:p>
    <w:p>
      <w:r>
        <w:pict>
          <v:rect style="width:0;height:1.5pt" o:hralign="center" o:hrstd="t" o:hr="t"/>
        </w:pict>
      </w:r>
    </w:p>
    <w:bookmarkEnd w:id="44"/>
    <w:bookmarkEnd w:id="45"/>
    <w:bookmarkEnd w:id="46"/>
    <w:bookmarkStart w:id="50" w:name="review-report"/>
    <w:p>
      <w:pPr>
        <w:pStyle w:val="Heading2"/>
      </w:pPr>
      <w:r>
        <w:t xml:space="preserve">5. Review &amp; Report</w:t>
      </w:r>
    </w:p>
    <w:bookmarkStart w:id="47" w:name="hotspots-and-reliability"/>
    <w:p>
      <w:pPr>
        <w:pStyle w:val="Heading3"/>
      </w:pPr>
      <w:r>
        <w:t xml:space="preserve">5.1 Hotspots and Reliability</w:t>
      </w:r>
    </w:p>
    <w:p>
      <w:pPr>
        <w:pStyle w:val="FirstParagraph"/>
      </w:pPr>
      <w:r>
        <w:t xml:space="preserve">Based on the illustrative calculations, the primary emission hotspots for gluhuipxdu are:</w:t>
      </w:r>
    </w:p>
    <w:p>
      <w:pPr>
        <w:numPr>
          <w:ilvl w:val="0"/>
          <w:numId w:val="1022"/>
        </w:numPr>
        <w:pStyle w:val="Compact"/>
      </w:pPr>
      <w:r>
        <w:rPr>
          <w:bCs/>
          <w:b/>
        </w:rPr>
        <w:t xml:space="preserve">Use Phase (Scope 3, Category 11):</w:t>
      </w:r>
      <w:r>
        <w:t xml:space="preserve"> </w:t>
      </w:r>
      <w:r>
        <w:t xml:space="preserve">The largest contributor, emphasizing the importance of energy-efficient product design and encouraging the use of renewable energy by end-users.</w:t>
      </w:r>
    </w:p>
    <w:p>
      <w:pPr>
        <w:numPr>
          <w:ilvl w:val="0"/>
          <w:numId w:val="1022"/>
        </w:numPr>
        <w:pStyle w:val="Compact"/>
      </w:pPr>
      <w:r>
        <w:rPr>
          <w:bCs/>
          <w:b/>
        </w:rPr>
        <w:t xml:space="preserve">Production Phase (Scope 2):</w:t>
      </w:r>
      <w:r>
        <w:t xml:space="preserve"> </w:t>
      </w:r>
      <w:r>
        <w:t xml:space="preserve">Significant due to purchased electricity for manufacturing in China. Increasing renewable energy sourcing (lnliqhpsfq) is a direct lever for reduction.</w:t>
      </w:r>
    </w:p>
    <w:p>
      <w:pPr>
        <w:numPr>
          <w:ilvl w:val="0"/>
          <w:numId w:val="1022"/>
        </w:numPr>
        <w:pStyle w:val="Compact"/>
      </w:pPr>
      <w:r>
        <w:rPr>
          <w:bCs/>
          <w:b/>
        </w:rPr>
        <w:t xml:space="preserve">Material Acquisition (Scope 3, Category 1):</w:t>
      </w:r>
      <w:r>
        <w:t xml:space="preserve"> </w:t>
      </w:r>
      <w:r>
        <w:t xml:space="preserve">The Bill of Materials highlights the embedded emissions in raw materials and their processing. Optimizing material selection and engaging with low-carbon suppliers can reduce this.</w:t>
      </w:r>
    </w:p>
    <w:p>
      <w:pPr>
        <w:numPr>
          <w:ilvl w:val="0"/>
          <w:numId w:val="1022"/>
        </w:numPr>
        <w:pStyle w:val="Compact"/>
      </w:pPr>
      <w:r>
        <w:rPr>
          <w:bCs/>
          <w:b/>
        </w:rPr>
        <w:t xml:space="preserve">Downstream Transportation (Scope 3, Category 9):</w:t>
      </w:r>
      <w:r>
        <w:t xml:space="preserve"> </w:t>
      </w:r>
      <w:r>
        <w:t xml:space="preserve">Last-mile delivery (Delivery Type) can be a considerable contributor, especially for lighter products or those with dispersed delivery points.</w:t>
      </w:r>
    </w:p>
    <w:p>
      <w:pPr>
        <w:pStyle w:val="FirstParagraph"/>
      </w:pPr>
      <w:r>
        <w:t xml:space="preserve">The reliability of this report is high for material inputs due to the detailed BOM (trmwrzkf) with specific \'Total Carbon\' values. For other lifecycle stages, calculations rely on provided parameters (e.g., qlejkspthg, xupmovqkfo) and industry-standard emission factors, which introduce some level of uncertainty but represent best available estimates. Enhanced reliability would come from primary data for all transport legs, specific grid mixes for all use phase geographies, and verified EoL processing data.</w:t>
      </w:r>
    </w:p>
    <w:bookmarkEnd w:id="47"/>
    <w:bookmarkStart w:id="48" w:name="recommendations-for-emissions-reduction"/>
    <w:p>
      <w:pPr>
        <w:pStyle w:val="Heading3"/>
      </w:pPr>
      <w:r>
        <w:t xml:space="preserve">5.2 Recommendations for Emissions Reduction</w:t>
      </w:r>
    </w:p>
    <w:p>
      <w:pPr>
        <w:numPr>
          <w:ilvl w:val="0"/>
          <w:numId w:val="1023"/>
        </w:numPr>
        <w:pStyle w:val="Compact"/>
      </w:pPr>
      <w:r>
        <w:rPr>
          <w:bCs/>
          <w:b/>
        </w:rPr>
        <w:t xml:space="preserve">Optimize Product Design for Use Phase:</w:t>
      </w:r>
      <w:r>
        <w:t xml:space="preserve"> </w:t>
      </w:r>
      <w:r>
        <w:t xml:space="preserve">Focus on significantly reducing the energy consumption (iwhsjjyxxk) during the product\'s lifespan (gpnipuzxnt) through technological advancements and user behavior influence.</w:t>
      </w:r>
    </w:p>
    <w:p>
      <w:pPr>
        <w:numPr>
          <w:ilvl w:val="0"/>
          <w:numId w:val="1023"/>
        </w:numPr>
        <w:pStyle w:val="Compact"/>
      </w:pPr>
      <w:r>
        <w:rPr>
          <w:bCs/>
          <w:b/>
        </w:rPr>
        <w:t xml:space="preserve">Increase Renewable Energy Procurement:</w:t>
      </w:r>
      <w:r>
        <w:t xml:space="preserve"> </w:t>
      </w:r>
      <w:r>
        <w:t xml:space="preserve">Further increase the percentage of renewable energy usage (lnliqhpsfq) at the manufacturing facility in China, potentially through on-site generation or power purchase agreements (PPAs).</w:t>
      </w:r>
    </w:p>
    <w:p>
      <w:pPr>
        <w:numPr>
          <w:ilvl w:val="0"/>
          <w:numId w:val="1023"/>
        </w:numPr>
        <w:pStyle w:val="Compact"/>
      </w:pPr>
      <w:r>
        <w:rPr>
          <w:bCs/>
          <w:b/>
        </w:rPr>
        <w:t xml:space="preserve">Supply Chain Engagement:</w:t>
      </w:r>
      <w:r>
        <w:t xml:space="preserve"> </w:t>
      </w:r>
      <w:r>
        <w:t xml:space="preserve">Work with material suppliers to source lower-carbon alternatives or optimize their manufacturing processes to reduce the embedded carbon in components (BOM).</w:t>
      </w:r>
    </w:p>
    <w:p>
      <w:pPr>
        <w:numPr>
          <w:ilvl w:val="0"/>
          <w:numId w:val="1023"/>
        </w:numPr>
        <w:pStyle w:val="Compact"/>
      </w:pPr>
      <w:r>
        <w:rPr>
          <w:bCs/>
          <w:b/>
        </w:rPr>
        <w:t xml:space="preserve">Logistics Optimization:</w:t>
      </w:r>
      <w:r>
        <w:t xml:space="preserve"> </w:t>
      </w:r>
      <w:r>
        <w:t xml:space="preserve">Explore more efficient transport modes (Select Mode) and optimize routes (qlejkspthg), especially for long distances. For last-mile delivery (Delivery Type), investigate electric vehicles or other low-carbon solutions.</w:t>
      </w:r>
    </w:p>
    <w:p>
      <w:pPr>
        <w:numPr>
          <w:ilvl w:val="0"/>
          <w:numId w:val="1023"/>
        </w:numPr>
        <w:pStyle w:val="Compact"/>
      </w:pPr>
      <w:r>
        <w:rPr>
          <w:bCs/>
          <w:b/>
        </w:rPr>
        <w:t xml:space="preserve">Enhance Circularity:</w:t>
      </w:r>
      <w:r>
        <w:t xml:space="preserve"> </w:t>
      </w:r>
      <w:r>
        <w:t xml:space="preserve">Promote and expand circular/take-back programs (jgfussiovj) and aim to increase the recyclability percentage (ofutuppqlf) through design for disassembly and material recovery.</w:t>
      </w:r>
    </w:p>
    <w:p>
      <w:pPr>
        <w:numPr>
          <w:ilvl w:val="0"/>
          <w:numId w:val="1023"/>
        </w:numPr>
        <w:pStyle w:val="Compact"/>
      </w:pPr>
      <w:r>
        <w:rPr>
          <w:bCs/>
          <w:b/>
        </w:rPr>
        <w:t xml:space="preserve">Data Improvement:</w:t>
      </w:r>
      <w:r>
        <w:t xml:space="preserve"> </w:t>
      </w:r>
      <w:r>
        <w:t xml:space="preserve">Continuously improve data collection for primary data across the value chain to reduce reliance on secondary data, aligning with the GHG Protocol\'s push for increased data transparency in Scope 3 reporting.</w:t>
      </w:r>
    </w:p>
    <w:bookmarkEnd w:id="48"/>
    <w:bookmarkStart w:id="49" w:name="ghg-protocol-2026-updates-integration"/>
    <w:p>
      <w:pPr>
        <w:pStyle w:val="Heading3"/>
      </w:pPr>
      <w:r>
        <w:t xml:space="preserve">5.3 GHG Protocol 2026 Updates Integration</w:t>
      </w:r>
    </w:p>
    <w:p>
      <w:pPr>
        <w:numPr>
          <w:ilvl w:val="0"/>
          <w:numId w:val="1024"/>
        </w:numPr>
        <w:pStyle w:val="Compact"/>
      </w:pPr>
      <w:r>
        <w:rPr>
          <w:bCs/>
          <w:b/>
        </w:rPr>
        <w:t xml:space="preserve">LSR Standard:</w:t>
      </w:r>
      <w:r>
        <w:t xml:space="preserve"> </w:t>
      </w:r>
      <w:r>
        <w:t xml:space="preserve">For future iterations, a more granular assessment of land-use impacts associated with raw material sourcing, if applicable, should be conducted, leveraging the forthcoming guidance for the LSR Standard.</w:t>
      </w:r>
    </w:p>
    <w:p>
      <w:pPr>
        <w:numPr>
          <w:ilvl w:val="0"/>
          <w:numId w:val="1024"/>
        </w:numPr>
        <w:pStyle w:val="Compact"/>
      </w:pPr>
      <w:r>
        <w:rPr>
          <w:bCs/>
          <w:b/>
        </w:rPr>
        <w:t xml:space="preserve">Scope 3 Coverage:</w:t>
      </w:r>
      <w:r>
        <w:t xml:space="preserve"> </w:t>
      </w:r>
      <w:r>
        <w:t xml:space="preserve">The 95% Scope 3 coverage target requires diligent data collection and robust methodologies to ensure all significant sources are included and transparently reported, especially as the GHG Protocol aims for financial-grade, auditable systems.</w:t>
      </w:r>
    </w:p>
    <w:p>
      <w:pPr>
        <w:numPr>
          <w:ilvl w:val="0"/>
          <w:numId w:val="1024"/>
        </w:numPr>
        <w:pStyle w:val="Compact"/>
      </w:pPr>
      <w:r>
        <w:rPr>
          <w:bCs/>
          <w:b/>
        </w:rPr>
        <w:t xml:space="preserve">Data Disaggregation:</w:t>
      </w:r>
      <w:r>
        <w:t xml:space="preserve"> </w:t>
      </w:r>
      <w:r>
        <w:t xml:space="preserve">Future reports should aim to disaggregate Scope 3 emissions data by source type (primary vs. secondary) to improve transparency and comparability, as per proposed revisions to the Scope 3 Standard.</w:t>
      </w:r>
    </w:p>
    <w:p>
      <w:pPr>
        <w:pStyle w:val="FirstParagraph"/>
      </w:pPr>
      <w:r>
        <w:t xml:space="preserve">Confidential - Internal Use Only | Page</w:t>
      </w:r>
      <w:r>
        <w:t xml:space="preserve"> </w:t>
      </w:r>
      <w:r>
        <w:t xml:space="preserve"> </w:t>
      </w:r>
      <w:r>
        <w:t xml:space="preserve">of</w:t>
      </w:r>
      <w:r>
        <w:t xml:space="preserve"> </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gluhuipxdu</dc:title>
  <dc:creator/>
  <dc:description>Detailed Product Carbon Footprint (PCF) analysis report for product gluhuipxdu, adhering to GHG Protocol standards and 2026 updates, conducted by Senior Sustainability Consultant tvywmprgyu for iujmpoummd.</dc:description>
  <dc:language>en</dc:language>
  <cp:keywords/>
  <dcterms:created xsi:type="dcterms:W3CDTF">2026-05-30T14:52:59Z</dcterms:created>
  <dcterms:modified xsi:type="dcterms:W3CDTF">2026-05-30T14:52:59Z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