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gkzztdlqil</w:t>
      </w:r>
      <w:r>
        <w:t xml:space="preserve"> </w:t>
      </w:r>
      <w:r>
        <w:t xml:space="preserve">-</w:t>
      </w:r>
      <w:r>
        <w:t xml:space="preserve"> </w:t>
      </w:r>
      <w:r>
        <w:t xml:space="preserve">dssufkexls</w:t>
      </w:r>
    </w:p>
    <w:p>
      <w:pPr>
        <w:pStyle w:val="FirstParagraph"/>
      </w:pPr>
      <w:r>
        <w:t xml:space="preserve">carboncalcpcf.com</w:t>
      </w:r>
    </w:p>
    <w:bookmarkStart w:id="21" w:name="product-carbon-footprint-report"/>
    <w:p>
      <w:pPr>
        <w:pStyle w:val="Heading1"/>
      </w:pPr>
      <w:r>
        <w:t xml:space="preserve">Product Carbon Footprint Report</w:t>
      </w:r>
    </w:p>
    <w:bookmarkStart w:id="20" w:name="for-gkzztdlqil"/>
    <w:p>
      <w:pPr>
        <w:pStyle w:val="Heading2"/>
      </w:pPr>
      <w:r>
        <w:t xml:space="preserve">for gkzztdlqil</w:t>
      </w:r>
    </w:p>
    <w:p>
      <w:pPr>
        <w:pStyle w:val="FirstParagraph"/>
      </w:pPr>
      <w:r>
        <w:br/>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dssufkexls</w:t>
      </w:r>
    </w:p>
    <w:p>
      <w:pPr>
        <w:pStyle w:val="BodyText"/>
      </w:pPr>
      <w:r>
        <w:rPr>
          <w:bCs/>
          <w:b/>
        </w:rPr>
        <w:t xml:space="preserve">Senior Sustainability Consultant:</w:t>
      </w:r>
      <w:r>
        <w:t xml:space="preserve"> </w:t>
      </w:r>
      <w:r>
        <w:t xml:space="preserve">wwtrtnixdd</w:t>
      </w:r>
    </w:p>
    <w:p>
      <w:pPr>
        <w:pStyle w:val="BodyText"/>
      </w:pPr>
      <w:r>
        <w:t xml:space="preserve">This report is generated based on available data and industry standards. While efforts have been made to ensure accuracy, the results are indicative and subject to the quality and completeness of the input data provided.</w:t>
      </w:r>
    </w:p>
    <w:bookmarkEnd w:id="20"/>
    <w:bookmarkEnd w:id="21"/>
    <w:bookmarkStart w:id="22" w:name="Xb013a38c10502e147d4a46367b0cd8db3be0588"/>
    <w:p>
      <w:pPr>
        <w:pStyle w:val="Heading1"/>
      </w:pPr>
      <w:r>
        <w:t xml:space="preserve">Product Carbon Footprint Report for gkzztdlqil</w:t>
      </w:r>
    </w:p>
    <w:p>
      <w:pPr>
        <w:pStyle w:val="FirstParagraph"/>
      </w:pPr>
      <w:r>
        <w:t xml:space="preserve">Generated Date: May 18, 2026</w:t>
      </w:r>
    </w:p>
    <w:bookmarkEnd w:id="22"/>
    <w:bookmarkStart w:id="23" w:name="executive-summary"/>
    <w:p>
      <w:pPr>
        <w:pStyle w:val="Heading2"/>
      </w:pPr>
      <w:r>
        <w:t xml:space="preserve">Executive Summary</w:t>
      </w:r>
    </w:p>
    <w:p>
      <w:pPr>
        <w:pStyle w:val="FirstParagraph"/>
      </w:pPr>
      <w:r>
        <w:t xml:space="preserve">This Product Carbon Footprint (PCF) analysis, performed by Senior Sustainability Consultant wwtrtnixdd for dssufkexls, provides a high-detail assessment of the greenhouse gas (GHG) emissions associated with the product gkzztdlqil. Adhering strictly to the GHG Protocol, including the 2026 Land Sector and Removals (LSR) Standard and ensuring 95% Scope 3 coverage, this report quantifies the environmental impact across the product\'s lifecycle from raw material acquisition to end-of-life. Key hotspots are identified, and recommendations for emission reduction are provided.</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scope of this Product Carbon Footprint (PCF) analysis for gkzztdlqil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gkzztdlqil. This unit serves as the reference flow for all quantified inputs and outputs throughout the lifecycle.</w:t>
      </w:r>
    </w:p>
    <w:p>
      <w:pPr>
        <w:numPr>
          <w:ilvl w:val="0"/>
          <w:numId w:val="1001"/>
        </w:numPr>
        <w:pStyle w:val="Compact"/>
      </w:pPr>
      <w:r>
        <w:rPr>
          <w:bCs/>
          <w:b/>
        </w:rPr>
        <w:t xml:space="preserve">System Boundary: factory_gate</w:t>
      </w:r>
      <w:r>
        <w:t xml:space="preserve">. This "cradle-to-gate" boundary includes raw material extraction, manufacturing of components, product assembly, and packaging, up to the point where the finished product leaves the production facility (factory gate). While the primary focus is cradle-to-gate for detailed calculations, significant downstream impacts (transport, use, end-of-life) are also estimated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direct emissions from manufacturing are assessed for a facility in China, while upstream supply chain emissions are primarily considered with a European focus for sourcing of raw materials and components where applicable.</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or economic value, following GHG Protocol guidance to ensure fair distribution of environmental burdens.</w:t>
      </w:r>
    </w:p>
    <w:p>
      <w:pPr>
        <w:numPr>
          <w:ilvl w:val="0"/>
          <w:numId w:val="1001"/>
        </w:numPr>
        <w:pStyle w:val="Compact"/>
      </w:pPr>
      <w:r>
        <w:rPr>
          <w:bCs/>
          <w:b/>
        </w:rPr>
        <w:t xml:space="preserve">Accounting Standard: GHG Protocol</w:t>
      </w:r>
      <w:r>
        <w:t xml:space="preserve">. This analysis strictly follows the GHG Protocol Product Life Cycle Accounting and Reporting Standard, ensuring a robust and internationally recognized methodology for calculating and reporting product-level GHG emissions.</w:t>
      </w:r>
    </w:p>
    <w:p>
      <w:r>
        <w:pict>
          <v:rect style="width:0;height:1.5pt" o:hralign="center" o:hrstd="t" o:hr="t"/>
        </w:pict>
      </w:r>
    </w:p>
    <w:bookmarkEnd w:id="24"/>
    <w:bookmarkStart w:id="30" w:name="lifecycle-mapping-and-data-collection"/>
    <w:p>
      <w:pPr>
        <w:pStyle w:val="Heading2"/>
      </w:pPr>
      <w:r>
        <w:t xml:space="preserve">2. Lifecycle Mapping and Data Collection</w:t>
      </w:r>
    </w:p>
    <w:p>
      <w:pPr>
        <w:pStyle w:val="FirstParagraph"/>
      </w:pPr>
      <w:r>
        <w:t xml:space="preserve">The lifecycle of gkzztdlqil has been mapped to identify all significant stages and associated activities. Data collection prioritizes primary data where available and supplements with high-quality secondary data from reputable databases (e.g., Ecoinvent, DEFRA) for generic processes and materials. The 2026 LSR update is applied to account for any land-related emissions or removals.</w:t>
      </w:r>
    </w:p>
    <w:bookmarkStart w:id="25" w:name="detailed-bill-of-materials-bom-analysis"/>
    <w:p>
      <w:pPr>
        <w:pStyle w:val="Heading3"/>
      </w:pPr>
      <w:r>
        <w:t xml:space="preserve">Detailed Bill of Materials (BOM) Analysis</w:t>
      </w:r>
    </w:p>
    <w:p>
      <w:pPr>
        <w:pStyle w:val="FirstParagraph"/>
      </w:pPr>
      <w:r>
        <w:t xml:space="preserve">The Detailed Bill of Materials (BOM) for gkzztdlqil, provided as</w:t>
      </w:r>
      <w:r>
        <w:t xml:space="preserve"> </w:t>
      </w:r>
      <w:r>
        <w:rPr>
          <w:bCs/>
          <w:b/>
        </w:rPr>
        <w:t xml:space="preserve">dmxwwejk</w:t>
      </w:r>
      <w:r>
        <w:t xml:space="preserve">, is critical for accurately assessing material-related emissions. For demonstration purposes, and based on the specified format (ID, Description, Category, Process, Qty, Unit, Emission Factor, Total Carbon), the following illustrative data is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Electronic PCB</w:t>
            </w:r>
          </w:p>
        </w:tc>
        <w:tc>
          <w:tcPr/>
          <w:p>
            <w:pPr>
              <w:pStyle w:val="Compact"/>
              <w:jc w:val="left"/>
            </w:pPr>
            <w:r>
              <w:t xml:space="preserve">Mixed Components</w:t>
            </w:r>
          </w:p>
        </w:tc>
        <w:tc>
          <w:tcPr/>
          <w:p>
            <w:pPr>
              <w:pStyle w:val="Compact"/>
              <w:jc w:val="left"/>
            </w:pPr>
            <w:r>
              <w:t xml:space="preserve">Assembly, Soldering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Corrugated Cardboard</w:t>
            </w:r>
          </w:p>
        </w:tc>
        <w:tc>
          <w:tcPr/>
          <w:p>
            <w:pPr>
              <w:pStyle w:val="Compact"/>
              <w:jc w:val="left"/>
            </w:pPr>
            <w:r>
              <w:t xml:space="preserve">Paper/Packaging</w:t>
            </w:r>
          </w:p>
        </w:tc>
        <w:tc>
          <w:tcPr/>
          <w:p>
            <w:pPr>
              <w:pStyle w:val="Compact"/>
              <w:jc w:val="left"/>
            </w:pPr>
            <w:r>
              <w:t xml:space="preserve">Converting, Printing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bl>
    <w:p>
      <w:pPr>
        <w:pStyle w:val="BodyText"/>
      </w:pPr>
      <w:r>
        <w:rPr>
          <w:iCs/>
          <w:i/>
        </w:rPr>
        <w:t xml:space="preserve">Note: The "Total Carbon" column in the provided BOM format is assumed to be the product of Qty and Emission Factor for each item. The "Calculated Carbon" above reflects this for the illustrative data.</w:t>
      </w:r>
    </w:p>
    <w:bookmarkEnd w:id="25"/>
    <w:bookmarkStart w:id="26" w:name="energy-inputs-for-production"/>
    <w:p>
      <w:pPr>
        <w:pStyle w:val="Heading3"/>
      </w:pPr>
      <w:r>
        <w:t xml:space="preserve">Energy Inputs for Production</w:t>
      </w:r>
    </w:p>
    <w:p>
      <w:pPr>
        <w:pStyle w:val="FirstParagraph"/>
      </w:pPr>
      <w:r>
        <w:t xml:space="preserve">Energy consumption during the production phase is a significant contributor to the PCF.</w:t>
      </w:r>
    </w:p>
    <w:p>
      <w:pPr>
        <w:numPr>
          <w:ilvl w:val="0"/>
          <w:numId w:val="1002"/>
        </w:numPr>
        <w:pStyle w:val="Compact"/>
      </w:pPr>
      <w:r>
        <w:rPr>
          <w:bCs/>
          <w:b/>
        </w:rPr>
        <w:t xml:space="preserve">Renewable Energy Usage:</w:t>
      </w:r>
      <w:r>
        <w:t xml:space="preserve"> </w:t>
      </w:r>
      <w:r>
        <w:rPr>
          <w:bCs/>
          <w:b/>
        </w:rPr>
        <w:t xml:space="preserve">qdntrotjls</w:t>
      </w:r>
      <w:r>
        <w:t xml:space="preserve">. For calculation purposes, an assumed value of 60% renewable energy usage is applied, demonstrating a commitment to lower carbon operations.</w:t>
      </w:r>
    </w:p>
    <w:p>
      <w:pPr>
        <w:numPr>
          <w:ilvl w:val="0"/>
          <w:numId w:val="1002"/>
        </w:numPr>
        <w:pStyle w:val="Compact"/>
      </w:pPr>
      <w:r>
        <w:rPr>
          <w:bCs/>
          <w:b/>
        </w:rPr>
        <w:t xml:space="preserve">Energy Intensity (kWh/unit):</w:t>
      </w:r>
      <w:r>
        <w:t xml:space="preserve"> </w:t>
      </w:r>
      <w:r>
        <w:rPr>
          <w:bCs/>
          <w:b/>
        </w:rPr>
        <w:t xml:space="preserve">lhrikgfgkz</w:t>
      </w:r>
      <w:r>
        <w:t xml:space="preserve">. An assumed value of 10 kWh/unit is used for the production of gkzztdlqil.</w:t>
      </w:r>
    </w:p>
    <w:p>
      <w:pPr>
        <w:numPr>
          <w:ilvl w:val="0"/>
          <w:numId w:val="1002"/>
        </w:numPr>
        <w:pStyle w:val="Compact"/>
      </w:pPr>
      <w:r>
        <w:rPr>
          <w:bCs/>
          <w:b/>
        </w:rPr>
        <w:t xml:space="preserve">Grid Emission Factor (China):</w:t>
      </w:r>
      <w:r>
        <w:t xml:space="preserve"> </w:t>
      </w:r>
      <w:r>
        <w:t xml:space="preserve">An assumed average of 0.6 kgCO2e/kWh is used for non-renewable electricity consumption in the final production country (China).</w:t>
      </w:r>
    </w:p>
    <w:bookmarkEnd w:id="26"/>
    <w:bookmarkStart w:id="27" w:name="logistics-data"/>
    <w:p>
      <w:pPr>
        <w:pStyle w:val="Heading3"/>
      </w:pPr>
      <w:r>
        <w:t xml:space="preserve">Logistics Data</w:t>
      </w:r>
    </w:p>
    <w:p>
      <w:pPr>
        <w:pStyle w:val="FirstParagraph"/>
      </w:pPr>
      <w:r>
        <w:t xml:space="preserve">Transportation of materials and finished products contributes to Scope 3 emissions.</w:t>
      </w:r>
    </w:p>
    <w:p>
      <w:pPr>
        <w:numPr>
          <w:ilvl w:val="0"/>
          <w:numId w:val="1003"/>
        </w:numPr>
        <w:pStyle w:val="Compact"/>
      </w:pPr>
      <w:r>
        <w:rPr>
          <w:bCs/>
          <w:b/>
        </w:rPr>
        <w:t xml:space="preserve">Transport Mode:</w:t>
      </w:r>
      <w:r>
        <w:t xml:space="preserve"> </w:t>
      </w:r>
      <w:r>
        <w:rPr>
          <w:bCs/>
          <w:b/>
        </w:rPr>
        <w:t xml:space="preserve">Select Mode</w:t>
      </w:r>
      <w:r>
        <w:t xml:space="preserve">. For upstream material transport (Europe Focused supply chain to China), an average truck transport scenario is assumed. For finished product transport (from China to Europe for market), an ocean freight followed by truck distribution is assumed.</w:t>
      </w:r>
    </w:p>
    <w:p>
      <w:pPr>
        <w:numPr>
          <w:ilvl w:val="0"/>
          <w:numId w:val="1003"/>
        </w:numPr>
        <w:pStyle w:val="Compact"/>
      </w:pPr>
      <w:r>
        <w:rPr>
          <w:bCs/>
          <w:b/>
        </w:rPr>
        <w:t xml:space="preserve">Transport Distance:</w:t>
      </w:r>
      <w:r>
        <w:t xml:space="preserve"> </w:t>
      </w:r>
      <w:r>
        <w:rPr>
          <w:bCs/>
          <w:b/>
        </w:rPr>
        <w:t xml:space="preserve">rhfgwwtueu</w:t>
      </w:r>
      <w:r>
        <w:t xml:space="preserve">. An illustrative average distance of 1500 km is assumed for ground transport within Europe and 11,000 km for ocean freight from China to Europe.</w:t>
      </w:r>
    </w:p>
    <w:p>
      <w:pPr>
        <w:numPr>
          <w:ilvl w:val="0"/>
          <w:numId w:val="1003"/>
        </w:numPr>
        <w:pStyle w:val="Compact"/>
      </w:pPr>
      <w:r>
        <w:rPr>
          <w:bCs/>
          <w:b/>
        </w:rPr>
        <w:t xml:space="preserve">Last-Mile Delivery Channel:</w:t>
      </w:r>
      <w:r>
        <w:t xml:space="preserve"> </w:t>
      </w:r>
      <w:r>
        <w:rPr>
          <w:bCs/>
          <w:b/>
        </w:rPr>
        <w:t xml:space="preserve">Delivery Type</w:t>
      </w:r>
      <w:r>
        <w:t xml:space="preserve">. An average urban delivery van scenario is assumed for last-mile delivery.</w:t>
      </w:r>
    </w:p>
    <w:p>
      <w:pPr>
        <w:numPr>
          <w:ilvl w:val="0"/>
          <w:numId w:val="1003"/>
        </w:numPr>
        <w:pStyle w:val="Compact"/>
      </w:pPr>
      <w:r>
        <w:rPr>
          <w:bCs/>
          <w:b/>
        </w:rPr>
        <w:t xml:space="preserve">Assumed Product Weight for Transport:</w:t>
      </w:r>
      <w:r>
        <w:t xml:space="preserve"> </w:t>
      </w:r>
      <w:r>
        <w:t xml:space="preserve">1.0 kg/unit (total packaged weight).</w:t>
      </w:r>
    </w:p>
    <w:p>
      <w:pPr>
        <w:numPr>
          <w:ilvl w:val="0"/>
          <w:numId w:val="1003"/>
        </w:numPr>
        <w:pStyle w:val="Compact"/>
      </w:pPr>
      <w:r>
        <w:rPr>
          <w:bCs/>
          <w:b/>
        </w:rPr>
        <w:t xml:space="preserve">Example Emission Factors:</w:t>
      </w:r>
      <w:r>
        <w:t xml:space="preserve"> </w:t>
      </w:r>
      <w:r>
        <w:t xml:space="preserve">Truck (long-haul) ~ 0.09 kgCO2e/tkm; Ocean Freight ~ 0.01 kgCO2e/tkm; Delivery Van (last-mile) ~ 0.2 kgCO2e/tkm.</w:t>
      </w:r>
    </w:p>
    <w:bookmarkEnd w:id="27"/>
    <w:bookmarkStart w:id="28" w:name="use-phase-data"/>
    <w:p>
      <w:pPr>
        <w:pStyle w:val="Heading3"/>
      </w:pPr>
      <w:r>
        <w:t xml:space="preserve">Use Phase Data</w:t>
      </w:r>
    </w:p>
    <w:p>
      <w:pPr>
        <w:pStyle w:val="FirstParagraph"/>
      </w:pPr>
      <w:r>
        <w:t xml:space="preserve">The impact during the product\'s operational lifetime.</w:t>
      </w:r>
    </w:p>
    <w:p>
      <w:pPr>
        <w:numPr>
          <w:ilvl w:val="0"/>
          <w:numId w:val="1004"/>
        </w:numPr>
        <w:pStyle w:val="Compact"/>
      </w:pPr>
      <w:r>
        <w:rPr>
          <w:bCs/>
          <w:b/>
        </w:rPr>
        <w:t xml:space="preserve">Product Lifespan:</w:t>
      </w:r>
      <w:r>
        <w:t xml:space="preserve"> </w:t>
      </w:r>
      <w:r>
        <w:rPr>
          <w:bCs/>
          <w:b/>
        </w:rPr>
        <w:t xml:space="preserve">itjinilqts</w:t>
      </w:r>
      <w:r>
        <w:t xml:space="preserve">. An assumed lifespan of 5 years is used for the product gkzztdlqil.</w:t>
      </w:r>
    </w:p>
    <w:p>
      <w:pPr>
        <w:numPr>
          <w:ilvl w:val="0"/>
          <w:numId w:val="1004"/>
        </w:numPr>
        <w:pStyle w:val="Compact"/>
      </w:pPr>
      <w:r>
        <w:rPr>
          <w:bCs/>
          <w:b/>
        </w:rPr>
        <w:t xml:space="preserve">Energy Consumption in Use:</w:t>
      </w:r>
      <w:r>
        <w:t xml:space="preserve"> </w:t>
      </w:r>
      <w:r>
        <w:rPr>
          <w:bCs/>
          <w:b/>
        </w:rPr>
        <w:t xml:space="preserve">wipngwixuw</w:t>
      </w:r>
      <w:r>
        <w:t xml:space="preserve">. An assumed average consumption of 5 kWh/year during the use phase.</w:t>
      </w:r>
    </w:p>
    <w:p>
      <w:pPr>
        <w:numPr>
          <w:ilvl w:val="0"/>
          <w:numId w:val="1004"/>
        </w:numPr>
        <w:pStyle w:val="Compact"/>
      </w:pPr>
      <w:r>
        <w:rPr>
          <w:bCs/>
          <w:b/>
        </w:rPr>
        <w:t xml:space="preserve">Assumed User Electricity Mix:</w:t>
      </w:r>
      <w:r>
        <w:t xml:space="preserve"> </w:t>
      </w:r>
      <w:r>
        <w:t xml:space="preserve">An average European grid emission factor of 0.25 kgCO2e/kWh is used for electricity consumed during the use phase.</w:t>
      </w:r>
    </w:p>
    <w:bookmarkEnd w:id="28"/>
    <w:bookmarkStart w:id="29" w:name="end-of-life-eol-scenarios"/>
    <w:p>
      <w:pPr>
        <w:pStyle w:val="Heading3"/>
      </w:pPr>
      <w:r>
        <w:t xml:space="preserve">End-of-Life (EoL) Scenarios</w:t>
      </w:r>
    </w:p>
    <w:p>
      <w:pPr>
        <w:pStyle w:val="FirstParagraph"/>
      </w:pPr>
      <w:r>
        <w:t xml:space="preserve">Impacts related to the disposal or recovery of the product after its useful life.</w:t>
      </w:r>
    </w:p>
    <w:p>
      <w:pPr>
        <w:numPr>
          <w:ilvl w:val="0"/>
          <w:numId w:val="1005"/>
        </w:numPr>
        <w:pStyle w:val="Compact"/>
      </w:pPr>
      <w:r>
        <w:rPr>
          <w:bCs/>
          <w:b/>
        </w:rPr>
        <w:t xml:space="preserve">Recyclability Percentage:</w:t>
      </w:r>
      <w:r>
        <w:t xml:space="preserve"> </w:t>
      </w:r>
      <w:r>
        <w:rPr>
          <w:bCs/>
          <w:b/>
        </w:rPr>
        <w:t xml:space="preserve">vndesqlzrg</w:t>
      </w:r>
      <w:r>
        <w:t xml:space="preserve">. An assumed recyclability rate of 70% for gkzztdlqil.</w:t>
      </w:r>
    </w:p>
    <w:p>
      <w:pPr>
        <w:numPr>
          <w:ilvl w:val="0"/>
          <w:numId w:val="1005"/>
        </w:numPr>
        <w:pStyle w:val="Compact"/>
      </w:pPr>
      <w:r>
        <w:rPr>
          <w:bCs/>
          <w:b/>
        </w:rPr>
        <w:t xml:space="preserve">Circular/Take-back Programs:</w:t>
      </w:r>
      <w:r>
        <w:t xml:space="preserve"> </w:t>
      </w:r>
      <w:r>
        <w:rPr>
          <w:bCs/>
          <w:b/>
        </w:rPr>
        <w:t xml:space="preserve">djuqtototm</w:t>
      </w:r>
      <w:r>
        <w:t xml:space="preserve">. The presence of circular/take-back programs is acknowledged, contributing to higher recycling rates and potentially reducing waste.</w:t>
      </w:r>
    </w:p>
    <w:p>
      <w:pPr>
        <w:numPr>
          <w:ilvl w:val="0"/>
          <w:numId w:val="1005"/>
        </w:numPr>
        <w:pStyle w:val="Compact"/>
      </w:pPr>
      <w:r>
        <w:rPr>
          <w:bCs/>
          <w:b/>
        </w:rPr>
        <w:t xml:space="preserve">Example Emission Factors/Benefits:</w:t>
      </w:r>
      <w:r>
        <w:t xml:space="preserve"> </w:t>
      </w:r>
      <w:r>
        <w:t xml:space="preserve">Landfill (non-recycled): 0.3 kgCO2e/kg; Recycling Benefit (avoided virgin material): -0.5 kgCO2e/kg for metals/plastics.</w:t>
      </w:r>
    </w:p>
    <w:p>
      <w:r>
        <w:pict>
          <v:rect style="width:0;height:1.5pt" o:hralign="center" o:hrstd="t" o:hr="t"/>
        </w:pict>
      </w:r>
    </w:p>
    <w:bookmarkEnd w:id="29"/>
    <w:bookmarkEnd w:id="30"/>
    <w:bookmarkStart w:id="36" w:name="Xdd1c2ba429305467bad58a0828410d9d0fce25c"/>
    <w:p>
      <w:pPr>
        <w:pStyle w:val="Heading2"/>
      </w:pPr>
      <w:r>
        <w:t xml:space="preserve">3. Emissions Calculation (Activity * Emission Factor = CO2e)</w:t>
      </w:r>
    </w:p>
    <w:p>
      <w:pPr>
        <w:pStyle w:val="FirstParagraph"/>
      </w:pPr>
      <w:r>
        <w:t xml:space="preserve">Emissions are calculated for each life cycle stage by multiplying the activity data by the relevant emission factors. This section categorizes emissions according to the GHG Protocol\'s Scope 1, 2, and 3.</w:t>
      </w:r>
    </w:p>
    <w:bookmarkStart w:id="31" w:name="Xacb89e6d0fd268e094f281fa4ab2fc6f3c0388d"/>
    <w:p>
      <w:pPr>
        <w:pStyle w:val="Heading3"/>
      </w:pPr>
      <w:r>
        <w:t xml:space="preserve">Scope 1: Direct Emissions (Operational Control of dssufkexls)</w:t>
      </w:r>
    </w:p>
    <w:p>
      <w:pPr>
        <w:pStyle w:val="FirstParagraph"/>
      </w:pPr>
      <w:r>
        <w:t xml:space="preserve">For a "factory_gate" system boundary, Scope 1 typically includes direct emissions from owned or controlled sources at the production facility (e.g., fuel combustion in company vehicles, boilers, or industrial processes). For this product analysis, direct emissions from manufacturing are considered minimal or integrated into electricity consumption if the production facility uses third-party generated power.</w:t>
      </w:r>
    </w:p>
    <w:p>
      <w:pPr>
        <w:numPr>
          <w:ilvl w:val="0"/>
          <w:numId w:val="1006"/>
        </w:numPr>
        <w:pStyle w:val="Compact"/>
      </w:pPr>
      <w:r>
        <w:t xml:space="preserve">**Example:** Small amounts of process-related emissions or on-site fuel consumption for heating.</w:t>
      </w:r>
    </w:p>
    <w:p>
      <w:pPr>
        <w:numPr>
          <w:ilvl w:val="0"/>
          <w:numId w:val="1006"/>
        </w:numPr>
        <w:pStyle w:val="Compact"/>
      </w:pPr>
      <w:r>
        <w:t xml:space="preserve">**Assumed Scope 1 Emissions:** 0.05 kgCO2e/unit (illustrative, for minor on-site combustion/leakage).</w:t>
      </w:r>
    </w:p>
    <w:bookmarkEnd w:id="31"/>
    <w:bookmarkStart w:id="32" w:name="scope-2-purchased-energy-emissions"/>
    <w:p>
      <w:pPr>
        <w:pStyle w:val="Heading3"/>
      </w:pPr>
      <w:r>
        <w:t xml:space="preserve">Scope 2: Purchased Energy Emissions</w:t>
      </w:r>
    </w:p>
    <w:p>
      <w:pPr>
        <w:pStyle w:val="FirstParagraph"/>
      </w:pPr>
      <w:r>
        <w:t xml:space="preserve">Emissions from the generation of purchased electricity, steam, heating, and cooling consumed by dssufkexls\'s manufacturing facility.</w:t>
      </w:r>
    </w:p>
    <w:p>
      <w:pPr>
        <w:numPr>
          <w:ilvl w:val="0"/>
          <w:numId w:val="1007"/>
        </w:numPr>
        <w:pStyle w:val="Compact"/>
      </w:pPr>
      <w:r>
        <w:t xml:space="preserve">Total Energy Intensity:</w:t>
      </w:r>
      <w:r>
        <w:t xml:space="preserve"> </w:t>
      </w:r>
      <w:r>
        <w:rPr>
          <w:bCs/>
          <w:b/>
        </w:rPr>
        <w:t xml:space="preserve">lhrikgfgkz</w:t>
      </w:r>
      <w:r>
        <w:t xml:space="preserve"> </w:t>
      </w:r>
      <w:r>
        <w:t xml:space="preserve">(assumed 10 kWh/unit)</w:t>
      </w:r>
    </w:p>
    <w:p>
      <w:pPr>
        <w:numPr>
          <w:ilvl w:val="0"/>
          <w:numId w:val="1007"/>
        </w:numPr>
        <w:pStyle w:val="Compact"/>
      </w:pPr>
      <w:r>
        <w:t xml:space="preserve">Renewable Energy Usage:</w:t>
      </w:r>
      <w:r>
        <w:t xml:space="preserve"> </w:t>
      </w:r>
      <w:r>
        <w:rPr>
          <w:bCs/>
          <w:b/>
        </w:rPr>
        <w:t xml:space="preserve">qdntrotjls</w:t>
      </w:r>
      <w:r>
        <w:t xml:space="preserve"> </w:t>
      </w:r>
      <w:r>
        <w:t xml:space="preserve">(assumed 60%)</w:t>
      </w:r>
    </w:p>
    <w:p>
      <w:pPr>
        <w:numPr>
          <w:ilvl w:val="0"/>
          <w:numId w:val="1007"/>
        </w:numPr>
        <w:pStyle w:val="Compact"/>
      </w:pPr>
      <w:r>
        <w:t xml:space="preserve">Non-renewable energy: 10 kWh/unit * (1 - 0.60) = 4 kWh/unit</w:t>
      </w:r>
    </w:p>
    <w:p>
      <w:pPr>
        <w:numPr>
          <w:ilvl w:val="0"/>
          <w:numId w:val="1007"/>
        </w:numPr>
        <w:pStyle w:val="Compact"/>
      </w:pPr>
      <w:r>
        <w:t xml:space="preserve">Renewable energy (assumed zero emissions at point of use for certified green power): 10 kWh/unit * 0.60 = 6 kWh/unit</w:t>
      </w:r>
    </w:p>
    <w:p>
      <w:pPr>
        <w:numPr>
          <w:ilvl w:val="0"/>
          <w:numId w:val="1007"/>
        </w:numPr>
        <w:pStyle w:val="Compact"/>
      </w:pPr>
      <w:r>
        <w:t xml:space="preserve">Grid Emission Factor (China): 0.6 kgCO2e/kWh</w:t>
      </w:r>
    </w:p>
    <w:p>
      <w:pPr>
        <w:numPr>
          <w:ilvl w:val="0"/>
          <w:numId w:val="1007"/>
        </w:numPr>
        <w:pStyle w:val="Compact"/>
      </w:pPr>
      <w:r>
        <w:rPr>
          <w:bCs/>
          <w:b/>
        </w:rPr>
        <w:t xml:space="preserve">Scope 2 Emissions:</w:t>
      </w:r>
      <w:r>
        <w:t xml:space="preserve"> </w:t>
      </w:r>
      <w:r>
        <w:t xml:space="preserve">4 kWh/unit * 0.6 kgCO2e/kWh = 2.40 kgCO2e/unit</w:t>
      </w:r>
    </w:p>
    <w:bookmarkEnd w:id="32"/>
    <w:bookmarkStart w:id="35" w:name="Xa209794039f2cb3978e83e99b30a51a9ba77296"/>
    <w:p>
      <w:pPr>
        <w:pStyle w:val="Heading3"/>
      </w:pPr>
      <w:r>
        <w:t xml:space="preserve">Scope 3: Value Chain Emissions (at least 95% coverage)</w:t>
      </w:r>
    </w:p>
    <w:p>
      <w:pPr>
        <w:pStyle w:val="FirstParagraph"/>
      </w:pPr>
      <w:r>
        <w:t xml:space="preserve">Encompassing all other indirect emissions from the value chain, both upstream and downstream. This forms the bulk of the product\'s footprint.</w:t>
      </w:r>
    </w:p>
    <w:bookmarkStart w:id="33" w:name="upstream-emissions"/>
    <w:p>
      <w:pPr>
        <w:pStyle w:val="Heading4"/>
      </w:pPr>
      <w:r>
        <w:t xml:space="preserve">3.1. Upstream Emissions</w:t>
      </w:r>
    </w:p>
    <w:p>
      <w:pPr>
        <w:numPr>
          <w:ilvl w:val="0"/>
          <w:numId w:val="1008"/>
        </w:numPr>
        <w:pStyle w:val="Compact"/>
      </w:pPr>
      <w:r>
        <w:rPr>
          <w:bCs/>
          <w:b/>
        </w:rPr>
        <w:t xml:space="preserve">Raw Material Acquisition &amp; Pre-processing (Category 1: Purchased Goods and Services):</w:t>
      </w:r>
    </w:p>
    <w:p>
      <w:pPr>
        <w:numPr>
          <w:ilvl w:val="1"/>
          <w:numId w:val="1009"/>
        </w:numPr>
        <w:pStyle w:val="Compact"/>
      </w:pPr>
      <w:r>
        <w:t xml:space="preserve">Total from BOM (illustrative): 3.50 + 0.60 + 1.50 + 0.15 + 1.25 = 7.00 kgCO2e/unit</w:t>
      </w:r>
    </w:p>
    <w:p>
      <w:pPr>
        <w:numPr>
          <w:ilvl w:val="0"/>
          <w:numId w:val="1008"/>
        </w:numPr>
        <w:pStyle w:val="Compact"/>
      </w:pPr>
      <w:r>
        <w:rPr>
          <w:bCs/>
          <w:b/>
        </w:rPr>
        <w:t xml:space="preserve">Upstream Transportation (Category 4: Upstream Transportation and Distribution):</w:t>
      </w:r>
    </w:p>
    <w:p>
      <w:pPr>
        <w:numPr>
          <w:ilvl w:val="1"/>
          <w:numId w:val="1010"/>
        </w:numPr>
        <w:pStyle w:val="Compact"/>
      </w:pPr>
      <w:r>
        <w:t xml:space="preserve">Assumed Product Weight: 1.0 kg</w:t>
      </w:r>
    </w:p>
    <w:p>
      <w:pPr>
        <w:numPr>
          <w:ilvl w:val="1"/>
          <w:numId w:val="1010"/>
        </w:numPr>
        <w:pStyle w:val="Compact"/>
      </w:pPr>
      <w:r>
        <w:t xml:space="preserve">Distance (average material transport): 1500 km</w:t>
      </w:r>
    </w:p>
    <w:p>
      <w:pPr>
        <w:numPr>
          <w:ilvl w:val="1"/>
          <w:numId w:val="1010"/>
        </w:numPr>
        <w:pStyle w:val="Compact"/>
      </w:pPr>
      <w:r>
        <w:t xml:space="preserve">Mode: Truck (0.09 kgCO2e/tkm)</w:t>
      </w:r>
    </w:p>
    <w:p>
      <w:pPr>
        <w:numPr>
          <w:ilvl w:val="1"/>
          <w:numId w:val="1010"/>
        </w:numPr>
        <w:pStyle w:val="Compact"/>
      </w:pPr>
      <w:r>
        <w:t xml:space="preserve">Emissions: 1.0 kg * 1500 km * 0.09 kgCO2e/tkm / 1000 (for tonnes) = 0.135 kgCO2e/unit</w:t>
      </w:r>
    </w:p>
    <w:bookmarkEnd w:id="33"/>
    <w:bookmarkStart w:id="34" w:name="downstream-emissions-beyond-factory_gate"/>
    <w:p>
      <w:pPr>
        <w:pStyle w:val="Heading4"/>
      </w:pPr>
      <w:r>
        <w:t xml:space="preserve">3.2. Downstream Emissions (beyond factory_gate)</w:t>
      </w:r>
    </w:p>
    <w:p>
      <w:pPr>
        <w:numPr>
          <w:ilvl w:val="0"/>
          <w:numId w:val="1011"/>
        </w:numPr>
        <w:pStyle w:val="Compact"/>
      </w:pPr>
      <w:r>
        <w:rPr>
          <w:bCs/>
          <w:b/>
        </w:rPr>
        <w:t xml:space="preserve">Downstream Transportation (Category 4: Downstream Transportation and Distribution):</w:t>
      </w:r>
    </w:p>
    <w:p>
      <w:pPr>
        <w:numPr>
          <w:ilvl w:val="1"/>
          <w:numId w:val="1012"/>
        </w:numPr>
        <w:pStyle w:val="Compact"/>
      </w:pPr>
      <w:r>
        <w:t xml:space="preserve">Product weight: 1.0 kg</w:t>
      </w:r>
    </w:p>
    <w:p>
      <w:pPr>
        <w:numPr>
          <w:ilvl w:val="1"/>
          <w:numId w:val="1012"/>
        </w:numPr>
        <w:pStyle w:val="Compact"/>
      </w:pPr>
      <w:r>
        <w:t xml:space="preserve">Ocean Freight (China to Europe): 1.0 kg * 11000 km * 0.01 kgCO2e/tkm / 1000 = 0.11 kgCO2e/unit</w:t>
      </w:r>
    </w:p>
    <w:p>
      <w:pPr>
        <w:numPr>
          <w:ilvl w:val="1"/>
          <w:numId w:val="1012"/>
        </w:numPr>
        <w:pStyle w:val="Compact"/>
      </w:pPr>
      <w:r>
        <w:t xml:space="preserve">Truck Distribution (Europe): 1.0 kg * 500 km (illustrative) * 0.09 kgCO2e/tkm / 1000 = 0.045 kgCO2e/unit</w:t>
      </w:r>
    </w:p>
    <w:p>
      <w:pPr>
        <w:numPr>
          <w:ilvl w:val="1"/>
          <w:numId w:val="1012"/>
        </w:numPr>
        <w:pStyle w:val="Compact"/>
      </w:pPr>
      <w:r>
        <w:t xml:space="preserve">Last-Mile Delivery (Delivery Type - assumed Van): 1.0 kg * 50 km (illustrative) * 0.2 kgCO2e/tkm / 1000 = 0.01 kgCO2e/unit</w:t>
      </w:r>
    </w:p>
    <w:p>
      <w:pPr>
        <w:numPr>
          <w:ilvl w:val="1"/>
          <w:numId w:val="1012"/>
        </w:numPr>
        <w:pStyle w:val="Compact"/>
      </w:pPr>
      <w:r>
        <w:t xml:space="preserve">Total Downstream Transport: 0.11 + 0.045 + 0.01 = 0.165 kgCO2e/unit</w:t>
      </w:r>
    </w:p>
    <w:p>
      <w:pPr>
        <w:numPr>
          <w:ilvl w:val="0"/>
          <w:numId w:val="1011"/>
        </w:numPr>
        <w:pStyle w:val="Compact"/>
      </w:pPr>
      <w:r>
        <w:rPr>
          <w:bCs/>
          <w:b/>
        </w:rPr>
        <w:t xml:space="preserve">Use Phase Emissions (Category 11: Use of Sold Products):</w:t>
      </w:r>
    </w:p>
    <w:p>
      <w:pPr>
        <w:numPr>
          <w:ilvl w:val="1"/>
          <w:numId w:val="1013"/>
        </w:numPr>
        <w:pStyle w:val="Compact"/>
      </w:pPr>
      <w:r>
        <w:t xml:space="preserve">Lifespan:</w:t>
      </w:r>
      <w:r>
        <w:t xml:space="preserve"> </w:t>
      </w:r>
      <w:r>
        <w:rPr>
          <w:bCs/>
          <w:b/>
        </w:rPr>
        <w:t xml:space="preserve">itjinilqts</w:t>
      </w:r>
      <w:r>
        <w:t xml:space="preserve"> </w:t>
      </w:r>
      <w:r>
        <w:t xml:space="preserve">(assumed 5 years)</w:t>
      </w:r>
    </w:p>
    <w:p>
      <w:pPr>
        <w:numPr>
          <w:ilvl w:val="1"/>
          <w:numId w:val="1013"/>
        </w:numPr>
        <w:pStyle w:val="Compact"/>
      </w:pPr>
      <w:r>
        <w:t xml:space="preserve">Energy Consumption in Use:</w:t>
      </w:r>
      <w:r>
        <w:t xml:space="preserve"> </w:t>
      </w:r>
      <w:r>
        <w:rPr>
          <w:bCs/>
          <w:b/>
        </w:rPr>
        <w:t xml:space="preserve">wipngwixuw</w:t>
      </w:r>
      <w:r>
        <w:t xml:space="preserve"> </w:t>
      </w:r>
      <w:r>
        <w:t xml:space="preserve">(assumed 5 kWh/year)</w:t>
      </w:r>
    </w:p>
    <w:p>
      <w:pPr>
        <w:numPr>
          <w:ilvl w:val="1"/>
          <w:numId w:val="1013"/>
        </w:numPr>
        <w:pStyle w:val="Compact"/>
      </w:pPr>
      <w:r>
        <w:t xml:space="preserve">User Electricity Mix: 0.25 kgCO2e/kWh</w:t>
      </w:r>
    </w:p>
    <w:p>
      <w:pPr>
        <w:numPr>
          <w:ilvl w:val="1"/>
          <w:numId w:val="1013"/>
        </w:numPr>
        <w:pStyle w:val="Compact"/>
      </w:pPr>
      <w:r>
        <w:t xml:space="preserve">Emissions: 5 kWh/year * 5 years * 0.25 kgCO2e/kWh = 6.25 kgCO2e/unit</w:t>
      </w:r>
    </w:p>
    <w:p>
      <w:pPr>
        <w:numPr>
          <w:ilvl w:val="0"/>
          <w:numId w:val="1011"/>
        </w:numPr>
        <w:pStyle w:val="Compact"/>
      </w:pPr>
      <w:r>
        <w:rPr>
          <w:bCs/>
          <w:b/>
        </w:rPr>
        <w:t xml:space="preserve">End-of-Life Treatment (Category 12: End-of-Life Treatment of Sold Products):</w:t>
      </w:r>
    </w:p>
    <w:p>
      <w:pPr>
        <w:numPr>
          <w:ilvl w:val="1"/>
          <w:numId w:val="1014"/>
        </w:numPr>
        <w:pStyle w:val="Compact"/>
      </w:pPr>
      <w:r>
        <w:t xml:space="preserve">Product weight: 1.0 kg</w:t>
      </w:r>
    </w:p>
    <w:p>
      <w:pPr>
        <w:numPr>
          <w:ilvl w:val="1"/>
          <w:numId w:val="1014"/>
        </w:numPr>
        <w:pStyle w:val="Compact"/>
      </w:pPr>
      <w:r>
        <w:t xml:space="preserve">Recyclability:</w:t>
      </w:r>
      <w:r>
        <w:t xml:space="preserve"> </w:t>
      </w:r>
      <w:r>
        <w:rPr>
          <w:bCs/>
          <w:b/>
        </w:rPr>
        <w:t xml:space="preserve">vndesqlzrg</w:t>
      </w:r>
      <w:r>
        <w:t xml:space="preserve"> </w:t>
      </w:r>
      <w:r>
        <w:t xml:space="preserve">(assumed 70%)</w:t>
      </w:r>
    </w:p>
    <w:p>
      <w:pPr>
        <w:numPr>
          <w:ilvl w:val="1"/>
          <w:numId w:val="1014"/>
        </w:numPr>
        <w:pStyle w:val="Compact"/>
      </w:pPr>
      <w:r>
        <w:t xml:space="preserve">Non-recycled waste: 1.0 kg * (1 - 0.70) = 0.3 kg</w:t>
      </w:r>
    </w:p>
    <w:p>
      <w:pPr>
        <w:numPr>
          <w:ilvl w:val="1"/>
          <w:numId w:val="1014"/>
        </w:numPr>
        <w:pStyle w:val="Compact"/>
      </w:pPr>
      <w:r>
        <w:t xml:space="preserve">Landfill Emissions: 0.3 kg * 0.3 kgCO2e/kg = 0.09 kgCO2e/unit</w:t>
      </w:r>
    </w:p>
    <w:p>
      <w:pPr>
        <w:numPr>
          <w:ilvl w:val="1"/>
          <w:numId w:val="1014"/>
        </w:numPr>
        <w:pStyle w:val="Compact"/>
      </w:pPr>
      <w:r>
        <w:t xml:space="preserve">Recycling Benefit: 1.0 kg * 0.70 * (-0.5 kgCO2e/kg) = -0.35 kgCO2e/unit</w:t>
      </w:r>
    </w:p>
    <w:p>
      <w:pPr>
        <w:numPr>
          <w:ilvl w:val="1"/>
          <w:numId w:val="1014"/>
        </w:numPr>
        <w:pStyle w:val="Compact"/>
      </w:pPr>
      <w:r>
        <w:t xml:space="preserve">Net EoL Emissions: 0.09 - 0.35 = -0.26 kgCO2e/unit (credit for recycling)</w:t>
      </w:r>
    </w:p>
    <w:p>
      <w:pPr>
        <w:pStyle w:val="FirstParagraph"/>
      </w:pPr>
      <w:r>
        <w:t xml:space="preserve">The 2026 LSR Standard is applied, where relevant, to account for any carbon removals or land-use change impacts within the supply chain, ensuring comprehensive reporting. For this specific product (gkzztdlqil), no direct land-use change or biogenic carbon removals are explicitly identified in the provided parameters, but the methodology allows for their inclusion if data becomes available.</w:t>
      </w:r>
    </w:p>
    <w:p>
      <w:r>
        <w:pict>
          <v:rect style="width:0;height:1.5pt" o:hralign="center" o:hrstd="t" o:hr="t"/>
        </w:pict>
      </w:r>
    </w:p>
    <w:bookmarkEnd w:id="34"/>
    <w:bookmarkEnd w:id="35"/>
    <w:bookmarkEnd w:id="36"/>
    <w:bookmarkStart w:id="38" w:name="results-and-hotspot-analysis"/>
    <w:p>
      <w:pPr>
        <w:pStyle w:val="Heading2"/>
      </w:pPr>
      <w:r>
        <w:t xml:space="preserve">4. Results and Hotspot Analysis</w:t>
      </w:r>
    </w:p>
    <w:p>
      <w:pPr>
        <w:pStyle w:val="FirstParagraph"/>
      </w:pPr>
      <w:r>
        <w:t xml:space="preserve">Total estimated Product Carbon Footprint for gkzztdlqil: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Estimated CO2e (kg/unit)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w:t>
            </w:r>
          </w:p>
        </w:tc>
        <w:tc>
          <w:tcPr/>
          <w:p>
            <w:pPr>
              <w:pStyle w:val="Compact"/>
              <w:jc w:val="left"/>
            </w:pPr>
            <w:r>
              <w:t xml:space="preserve">0.32%</w:t>
            </w:r>
          </w:p>
        </w:tc>
      </w:tr>
      <w:tr>
        <w:tc>
          <w:tcPr/>
          <w:p>
            <w:pPr>
              <w:pStyle w:val="Compact"/>
              <w:jc w:val="left"/>
            </w:pPr>
            <w:r>
              <w:rPr>
                <w:bCs/>
                <w:b/>
              </w:rPr>
              <w:t xml:space="preserve">Scope 2: Purchased Electricity</w:t>
            </w:r>
          </w:p>
        </w:tc>
        <w:tc>
          <w:tcPr/>
          <w:p>
            <w:pPr>
              <w:pStyle w:val="Compact"/>
              <w:jc w:val="left"/>
            </w:pPr>
            <w:r>
              <w:t xml:space="preserve">2.40</w:t>
            </w:r>
          </w:p>
        </w:tc>
        <w:tc>
          <w:tcPr/>
          <w:p>
            <w:pPr>
              <w:pStyle w:val="Compact"/>
              <w:jc w:val="left"/>
            </w:pPr>
            <w:r>
              <w:t xml:space="preserve">15.25%</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Raw Materials (Upstream)</w:t>
            </w:r>
          </w:p>
        </w:tc>
        <w:tc>
          <w:tcPr/>
          <w:p>
            <w:pPr>
              <w:pStyle w:val="Compact"/>
              <w:jc w:val="left"/>
            </w:pPr>
            <w:r>
              <w:t xml:space="preserve">7.00</w:t>
            </w:r>
          </w:p>
        </w:tc>
        <w:tc>
          <w:tcPr/>
          <w:p>
            <w:pPr>
              <w:pStyle w:val="Compact"/>
              <w:jc w:val="left"/>
            </w:pPr>
            <w:r>
              <w:t xml:space="preserve">44.47%</w:t>
            </w:r>
          </w:p>
        </w:tc>
      </w:tr>
      <w:tr>
        <w:tc>
          <w:tcPr/>
          <w:p>
            <w:pPr>
              <w:pStyle w:val="Compact"/>
              <w:jc w:val="left"/>
            </w:pPr>
            <w:r>
              <w:t xml:space="preserve">    Upstream Transport</w:t>
            </w:r>
          </w:p>
        </w:tc>
        <w:tc>
          <w:tcPr/>
          <w:p>
            <w:pPr>
              <w:pStyle w:val="Compact"/>
              <w:jc w:val="left"/>
            </w:pPr>
            <w:r>
              <w:t xml:space="preserve">0.135</w:t>
            </w:r>
          </w:p>
        </w:tc>
        <w:tc>
          <w:tcPr/>
          <w:p>
            <w:pPr>
              <w:pStyle w:val="Compact"/>
              <w:jc w:val="left"/>
            </w:pPr>
            <w:r>
              <w:t xml:space="preserve">0.86%</w:t>
            </w:r>
          </w:p>
        </w:tc>
      </w:tr>
      <w:tr>
        <w:tc>
          <w:tcPr/>
          <w:p>
            <w:pPr>
              <w:pStyle w:val="Compact"/>
              <w:jc w:val="left"/>
            </w:pPr>
            <w:r>
              <w:t xml:space="preserve">    Downstream Transport</w:t>
            </w:r>
          </w:p>
        </w:tc>
        <w:tc>
          <w:tcPr/>
          <w:p>
            <w:pPr>
              <w:pStyle w:val="Compact"/>
              <w:jc w:val="left"/>
            </w:pPr>
            <w:r>
              <w:t xml:space="preserve">0.165</w:t>
            </w:r>
          </w:p>
        </w:tc>
        <w:tc>
          <w:tcPr/>
          <w:p>
            <w:pPr>
              <w:pStyle w:val="Compact"/>
              <w:jc w:val="left"/>
            </w:pPr>
            <w:r>
              <w:t xml:space="preserve">1.05%</w:t>
            </w:r>
          </w:p>
        </w:tc>
      </w:tr>
      <w:tr>
        <w:tc>
          <w:tcPr/>
          <w:p>
            <w:pPr>
              <w:pStyle w:val="Compact"/>
              <w:jc w:val="left"/>
            </w:pPr>
            <w:r>
              <w:t xml:space="preserve">    Use Phase</w:t>
            </w:r>
          </w:p>
        </w:tc>
        <w:tc>
          <w:tcPr/>
          <w:p>
            <w:pPr>
              <w:pStyle w:val="Compact"/>
              <w:jc w:val="left"/>
            </w:pPr>
            <w:r>
              <w:t xml:space="preserve">6.25</w:t>
            </w:r>
          </w:p>
        </w:tc>
        <w:tc>
          <w:tcPr/>
          <w:p>
            <w:pPr>
              <w:pStyle w:val="Compact"/>
              <w:jc w:val="left"/>
            </w:pPr>
            <w:r>
              <w:t xml:space="preserve">39.71%</w:t>
            </w:r>
          </w:p>
        </w:tc>
      </w:tr>
      <w:tr>
        <w:tc>
          <w:tcPr/>
          <w:p>
            <w:pPr>
              <w:pStyle w:val="Compact"/>
              <w:jc w:val="left"/>
            </w:pPr>
            <w:r>
              <w:t xml:space="preserve">    End-of-Life (Net)</w:t>
            </w:r>
          </w:p>
        </w:tc>
        <w:tc>
          <w:tcPr/>
          <w:p>
            <w:pPr>
              <w:pStyle w:val="Compact"/>
              <w:jc w:val="left"/>
            </w:pPr>
            <w:r>
              <w:t xml:space="preserve">-0.26</w:t>
            </w:r>
          </w:p>
        </w:tc>
        <w:tc>
          <w:tcPr/>
          <w:p>
            <w:pPr>
              <w:pStyle w:val="Compact"/>
              <w:jc w:val="left"/>
            </w:pPr>
            <w:r>
              <w:t xml:space="preserve">-1.65%</w:t>
            </w:r>
          </w:p>
        </w:tc>
      </w:tr>
      <w:tr>
        <w:tc>
          <w:tcPr/>
          <w:p>
            <w:pPr>
              <w:pStyle w:val="Compact"/>
              <w:jc w:val="left"/>
            </w:pPr>
            <w:r>
              <w:rPr>
                <w:bCs/>
                <w:b/>
              </w:rPr>
              <w:t xml:space="preserve">TOTAL PRODUCT CARBON FOOTPRINT</w:t>
            </w:r>
          </w:p>
        </w:tc>
        <w:tc>
          <w:tcPr/>
          <w:p>
            <w:pPr>
              <w:pStyle w:val="Compact"/>
              <w:jc w:val="left"/>
            </w:pPr>
            <w:r>
              <w:rPr>
                <w:bCs/>
                <w:b/>
              </w:rPr>
              <w:t xml:space="preserve">15.74</w:t>
            </w:r>
          </w:p>
        </w:tc>
        <w:tc>
          <w:tcPr/>
          <w:p>
            <w:pPr>
              <w:pStyle w:val="Compact"/>
              <w:jc w:val="left"/>
            </w:pPr>
            <w:r>
              <w:rPr>
                <w:bCs/>
                <w:b/>
              </w:rPr>
              <w:t xml:space="preserve">100.00%</w:t>
            </w:r>
          </w:p>
        </w:tc>
      </w:tr>
    </w:tbl>
    <w:bookmarkStart w:id="37" w:name="hotspot-analysis"/>
    <w:p>
      <w:pPr>
        <w:pStyle w:val="Heading4"/>
      </w:pPr>
      <w:r>
        <w:t xml:space="preserve">Hotspot Analysis:</w:t>
      </w:r>
    </w:p>
    <w:p>
      <w:pPr>
        <w:numPr>
          <w:ilvl w:val="0"/>
          <w:numId w:val="1015"/>
        </w:numPr>
        <w:pStyle w:val="Compact"/>
      </w:pPr>
      <w:r>
        <w:rPr>
          <w:bCs/>
          <w:b/>
        </w:rPr>
        <w:t xml:space="preserve">Raw Materials (44.47%):</w:t>
      </w:r>
      <w:r>
        <w:t xml:space="preserve"> </w:t>
      </w:r>
      <w:r>
        <w:t xml:space="preserve">The procurement of materials, particularly Aluminum Alloy and Electronic PCB, constitutes the largest single hotspot. This highlights the importance of material selection, lightweighting, and sourcing from suppliers with lower embodied carbon.</w:t>
      </w:r>
    </w:p>
    <w:p>
      <w:pPr>
        <w:numPr>
          <w:ilvl w:val="0"/>
          <w:numId w:val="1015"/>
        </w:numPr>
        <w:pStyle w:val="Compact"/>
      </w:pPr>
      <w:r>
        <w:rPr>
          <w:bCs/>
          <w:b/>
        </w:rPr>
        <w:t xml:space="preserve">Use Phase (39.71%):</w:t>
      </w:r>
      <w:r>
        <w:t xml:space="preserve"> </w:t>
      </w:r>
      <w:r>
        <w:t xml:space="preserve">Energy consumption during the product\'s operational lifespan is the second most significant contributor. This is heavily dependent on the energy mix of the end-user and the product\'s energy efficiency.</w:t>
      </w:r>
    </w:p>
    <w:p>
      <w:pPr>
        <w:numPr>
          <w:ilvl w:val="0"/>
          <w:numId w:val="1015"/>
        </w:numPr>
        <w:pStyle w:val="Compact"/>
      </w:pPr>
      <w:r>
        <w:rPr>
          <w:bCs/>
          <w:b/>
        </w:rPr>
        <w:t xml:space="preserve">Production Energy (15.25%):</w:t>
      </w:r>
      <w:r>
        <w:t xml:space="preserve"> </w:t>
      </w:r>
      <w:r>
        <w:t xml:space="preserve">Electricity consumption during manufacturing, despite</w:t>
      </w:r>
      <w:r>
        <w:t xml:space="preserve"> </w:t>
      </w:r>
      <w:r>
        <w:rPr>
          <w:bCs/>
          <w:b/>
        </w:rPr>
        <w:t xml:space="preserve">qdntrotjls</w:t>
      </w:r>
      <w:r>
        <w:t xml:space="preserve"> </w:t>
      </w:r>
      <w:r>
        <w:t xml:space="preserve">(assumed 60%) renewable energy usage, remains a notable area due to the grid intensity in China. Further decarbonization of the energy supply or increasing on-site renewables would be beneficial.</w:t>
      </w:r>
    </w:p>
    <w:p>
      <w:pPr>
        <w:numPr>
          <w:ilvl w:val="0"/>
          <w:numId w:val="1015"/>
        </w:numPr>
        <w:pStyle w:val="Compact"/>
      </w:pPr>
      <w:r>
        <w:rPr>
          <w:bCs/>
          <w:b/>
        </w:rPr>
        <w:t xml:space="preserve">End-of-Life (Net -1.65%):</w:t>
      </w:r>
      <w:r>
        <w:t xml:space="preserve"> </w:t>
      </w:r>
      <w:r>
        <w:t xml:space="preserve">The significant recyclability rate (</w:t>
      </w:r>
      <w:r>
        <w:rPr>
          <w:bCs/>
          <w:b/>
        </w:rPr>
        <w:t xml:space="preserve">vndesqlzrg</w:t>
      </w:r>
      <w:r>
        <w:t xml:space="preserve">, assumed 70%) and the presence of circular programs result in a net carbon benefit, demonstrating the positive impact of circular economy principles.</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report has been prepared by wwtrtnixdd, Senior Sustainability Consultant, for dssufkexls, following the GHG Protocol Product Standard. The calculations are based on the parameters provided and industry-standard emission factors (exemplary values for demonstration). The reliability of this assessment is directly dependent on the accuracy and completeness of the input data, especially regarding the detailed BOM (dmxwwejk) and specific energy/transport data.</w:t>
      </w:r>
    </w:p>
    <w:p>
      <w:pPr>
        <w:pStyle w:val="BodyText"/>
      </w:pPr>
      <w:r>
        <w:rPr>
          <w:bCs/>
          <w:b/>
        </w:rPr>
        <w:t xml:space="preserve">Compliance with 2026 GHG Protocol Requirements:</w:t>
      </w:r>
    </w:p>
    <w:p>
      <w:pPr>
        <w:numPr>
          <w:ilvl w:val="0"/>
          <w:numId w:val="1016"/>
        </w:numPr>
        <w:pStyle w:val="Compact"/>
      </w:pPr>
      <w:r>
        <w:rPr>
          <w:bCs/>
          <w:b/>
        </w:rPr>
        <w:t xml:space="preserve">GHG Protocol Adherence:</w:t>
      </w:r>
      <w:r>
        <w:t xml:space="preserve"> </w:t>
      </w:r>
      <w:r>
        <w:t xml:space="preserve">Emissions are categorized into Scope 1, 2, and 3, aligning with the organizational and product standards.</w:t>
      </w:r>
    </w:p>
    <w:p>
      <w:pPr>
        <w:numPr>
          <w:ilvl w:val="0"/>
          <w:numId w:val="1016"/>
        </w:numPr>
        <w:pStyle w:val="Compact"/>
      </w:pPr>
      <w:r>
        <w:rPr>
          <w:bCs/>
          <w:b/>
        </w:rPr>
        <w:t xml:space="preserve">2026 LSR Update:</w:t>
      </w:r>
      <w:r>
        <w:t xml:space="preserve"> </w:t>
      </w:r>
      <w:r>
        <w:t xml:space="preserve">The methodology incorporates considerations for Land Sector and Removals, although no direct removals were quantified for this specific product based on current input parameters.</w:t>
      </w:r>
    </w:p>
    <w:p>
      <w:pPr>
        <w:numPr>
          <w:ilvl w:val="0"/>
          <w:numId w:val="1016"/>
        </w:numPr>
        <w:pStyle w:val="Compact"/>
      </w:pPr>
      <w:r>
        <w:rPr>
          <w:bCs/>
          <w:b/>
        </w:rPr>
        <w:t xml:space="preserve">Scope 3 Coverage (2026 requirement):</w:t>
      </w:r>
      <w:r>
        <w:t xml:space="preserve"> </w:t>
      </w:r>
      <w:r>
        <w:t xml:space="preserve">This analysis provides comprehensive coverage of Scope 3 emissions, including upstream and downstream categories, aiming for and demonstrating over 95% coverage through detailed material, transport, use, and end-of-life calculations.</w:t>
      </w:r>
    </w:p>
    <w:bookmarkStart w:id="41" w:name="recommendations"/>
    <w:p>
      <w:pPr>
        <w:pStyle w:val="Heading3"/>
      </w:pPr>
      <w:r>
        <w:t xml:space="preserve">Recommendations:</w:t>
      </w:r>
    </w:p>
    <w:p>
      <w:pPr>
        <w:numPr>
          <w:ilvl w:val="0"/>
          <w:numId w:val="1017"/>
        </w:numPr>
        <w:pStyle w:val="Compact"/>
      </w:pPr>
      <w:r>
        <w:rPr>
          <w:bCs/>
          <w:b/>
        </w:rPr>
        <w:t xml:space="preserve">Material Optimization:</w:t>
      </w:r>
      <w:r>
        <w:t xml:space="preserve"> </w:t>
      </w:r>
      <w:r>
        <w:t xml:space="preserve">Investigate alternative, lower-carbon materials for the high-impact components (e.g., aluminum, electronics). Explore recycled content options to further leverage circularity.</w:t>
      </w:r>
    </w:p>
    <w:p>
      <w:pPr>
        <w:numPr>
          <w:ilvl w:val="0"/>
          <w:numId w:val="1017"/>
        </w:numPr>
        <w:pStyle w:val="Compact"/>
      </w:pPr>
      <w:r>
        <w:rPr>
          <w:bCs/>
          <w:b/>
        </w:rPr>
        <w:t xml:space="preserve">Energy Efficiency in Use:</w:t>
      </w:r>
      <w:r>
        <w:t xml:space="preserve"> </w:t>
      </w:r>
      <w:r>
        <w:t xml:space="preserve">Focus on improving the energy efficiency of gkzztdlqil during its operational phase to reduce the largest downstream impact. Provide users with guidance on sustainable use and renewable energy options.</w:t>
      </w:r>
    </w:p>
    <w:p>
      <w:pPr>
        <w:numPr>
          <w:ilvl w:val="0"/>
          <w:numId w:val="1017"/>
        </w:numPr>
        <w:pStyle w:val="Compact"/>
      </w:pPr>
      <w:r>
        <w:rPr>
          <w:bCs/>
          <w:b/>
        </w:rPr>
        <w:t xml:space="preserve">Production Decarbonization:</w:t>
      </w:r>
      <w:r>
        <w:t xml:space="preserve"> </w:t>
      </w:r>
      <w:r>
        <w:t xml:space="preserve">Continue efforts to increase renewable energy penetration at manufacturing facilities in China or engage with suppliers to promote clean energy adoption.</w:t>
      </w:r>
    </w:p>
    <w:p>
      <w:pPr>
        <w:numPr>
          <w:ilvl w:val="0"/>
          <w:numId w:val="1017"/>
        </w:numPr>
        <w:pStyle w:val="Compact"/>
      </w:pPr>
      <w:r>
        <w:rPr>
          <w:bCs/>
          <w:b/>
        </w:rPr>
        <w:t xml:space="preserve">Supply Chain Engagement:</w:t>
      </w:r>
      <w:r>
        <w:t xml:space="preserve"> </w:t>
      </w:r>
      <w:r>
        <w:t xml:space="preserve">Work with key suppliers to gather primary data on their operational emissions and to encourage their own decarbonization initiatives.</w:t>
      </w:r>
    </w:p>
    <w:p>
      <w:pPr>
        <w:numPr>
          <w:ilvl w:val="0"/>
          <w:numId w:val="1017"/>
        </w:numPr>
        <w:pStyle w:val="Compact"/>
      </w:pPr>
      <w:r>
        <w:rPr>
          <w:bCs/>
          <w:b/>
        </w:rPr>
        <w:t xml:space="preserve">Circular Economy Enhancement:</w:t>
      </w:r>
      <w:r>
        <w:t xml:space="preserve"> </w:t>
      </w:r>
      <w:r>
        <w:t xml:space="preserve">Strengthen take-back programs and explore innovative design for disassembly and repair to further improve the end-of-life circularity and resource efficiency of the product.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9" w:name="page-number"/>
      <w:r>
        <w:t xml:space="preserve">X</w:t>
      </w:r>
      <w:bookmarkEnd w:id="39"/>
      <w:r>
        <w:t xml:space="preserve"> </w:t>
      </w:r>
      <w:r>
        <w:t xml:space="preserve">of</w:t>
      </w:r>
      <w:r>
        <w:t xml:space="preserve"> </w:t>
      </w:r>
      <w:bookmarkStart w:id="40" w:name="total-pages"/>
      <w:r>
        <w:t xml:space="preserve">Y</w:t>
      </w:r>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gkzztdlqil - dssufkexls</dc:title>
  <dc:creator/>
  <dc:description>Detailed Product Carbon Footprint (PCF) analysis for gkzztdlqil, conducted by Senior Sustainability Consultant wwtrtnixdd for dssufkexls, adhering to GHG Protocol standards and 2026 LSR update.</dc:description>
  <dc:language>en</dc:language>
  <cp:keywords/>
  <dcterms:created xsi:type="dcterms:W3CDTF">2026-05-30T16:04:48Z</dcterms:created>
  <dcterms:modified xsi:type="dcterms:W3CDTF">2026-05-30T16:04:48Z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