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gkdusgdovp</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gkdusgdovp</w:t>
      </w:r>
    </w:p>
    <w:p>
      <w:pPr>
        <w:pStyle w:val="BodyText"/>
      </w:pPr>
      <w:r>
        <w:t xml:space="preserve">Company: uhswsnvitq</w:t>
      </w:r>
    </w:p>
    <w:p>
      <w:pPr>
        <w:pStyle w:val="BodyText"/>
      </w:pPr>
      <w:r>
        <w:t xml:space="preserve">Senior Sustainability Consultant: ikkmysvtgu</w:t>
      </w:r>
    </w:p>
    <w:p>
      <w:pPr>
        <w:pStyle w:val="BodyText"/>
      </w:pPr>
      <w:r>
        <w:t xml:space="preserve">Accounting Standard: GHG Protocol</w:t>
      </w:r>
    </w:p>
    <w:p>
      <w:pPr>
        <w:pStyle w:val="BodyText"/>
      </w:pPr>
      <w:r>
        <w:t xml:space="preserve">Disclaimer: This report is generated based on available data and industry standards, including specific parameters provided by the user. While every effort has been made to ensure accuracy within these constraints, it should be considered a preliminary estimate for informational purposes and not a definitive audit for regulatory compliance without further verification.</w:t>
      </w:r>
    </w:p>
    <w:bookmarkEnd w:id="20"/>
    <w:bookmarkStart w:id="21" w:name="product-carbon-footprint-report-1"/>
    <w:p>
      <w:pPr>
        <w:pStyle w:val="Heading1"/>
      </w:pPr>
      <w:r>
        <w:t xml:space="preserve">Product Carbon Footprint Report</w:t>
      </w:r>
    </w:p>
    <w:p>
      <w:pPr>
        <w:pStyle w:val="FirstParagraph"/>
      </w:pPr>
      <w:r>
        <w:rPr>
          <w:bCs/>
          <w:b/>
        </w:rPr>
        <w:t xml:space="preserve">Product:</w:t>
      </w:r>
      <w:r>
        <w:t xml:space="preserve"> </w:t>
      </w:r>
      <w:r>
        <w:t xml:space="preserve">gkdusgdovp</w:t>
      </w:r>
    </w:p>
    <w:p>
      <w:pPr>
        <w:pStyle w:val="BodyText"/>
      </w:pPr>
      <w:r>
        <w:rPr>
          <w:bCs/>
          <w:b/>
        </w:rPr>
        <w:t xml:space="preserve">Generated Date:</w:t>
      </w:r>
      <w:r>
        <w:t xml:space="preserve"> </w:t>
      </w:r>
      <w:r>
        <w:t xml:space="preserve">June 2,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gkdusgdovp</w:t>
      </w:r>
      <w:r>
        <w:t xml:space="preserve">, manufactured by</w:t>
      </w:r>
      <w:r>
        <w:t xml:space="preserve"> </w:t>
      </w:r>
      <w:r>
        <w:rPr>
          <w:bCs/>
          <w:b/>
        </w:rPr>
        <w:t xml:space="preserve">uhswsnvitq</w:t>
      </w:r>
      <w:r>
        <w:t xml:space="preserve">. The analysis was conducted by</w:t>
      </w:r>
      <w:r>
        <w:t xml:space="preserve"> </w:t>
      </w:r>
      <w:r>
        <w:rPr>
          <w:bCs/>
          <w:b/>
        </w:rPr>
        <w:t xml:space="preserve">ikkmysvtgu</w:t>
      </w:r>
      <w:r>
        <w:t xml:space="preserve">, Senior Sustainability Consultant, adhering to the GHG Protocol Corporate Value Chain (Scope 3) Accounting and Reporting Standard, including consideration of the 2026 Land Sector and Removals (LSR) Standard update. The assessment covers a “factory_gate” system boundary, focusing on the upstream and operational emissions up to the point the product leaves the factory, with an extended analysis for the use and end-of-life phases, and a supply chain focus on Europe with final production in China.</w:t>
      </w:r>
    </w:p>
    <w:p>
      <w:pPr>
        <w:pStyle w:val="BodyText"/>
      </w:pPr>
      <w:r>
        <w:t xml:space="preserve">The primary objective is to identify key emission hotspots across the product\'s lifecycle, categorize emissions according to GHG Protocol Scopes, and provide a robust, data-driven foundation for sustainability strategies. Emphasis has been placed on utilizing the provided Detailed Bill of Materials (BOM) and specific operational parameters for accuracy.</w:t>
      </w:r>
    </w:p>
    <w:p>
      <w:r>
        <w:pict>
          <v:rect style="width:0;height:1.5pt" o:hralign="center" o:hrstd="t" o:hr="t"/>
        </w:pict>
      </w:r>
    </w:p>
    <w:bookmarkEnd w:id="22"/>
    <w:bookmarkStart w:id="27" w:name="defining-the-scope"/>
    <w:p>
      <w:pPr>
        <w:pStyle w:val="Heading2"/>
      </w:pPr>
      <w:r>
        <w:t xml:space="preserve">1. Defining the Scope</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gkdusgdovp</w:t>
      </w:r>
      <w:r>
        <w:t xml:space="preserve">. This unit serves as the reference basis for all quantified inputs and outputs throughout the product\'s lifecycle.</w:t>
      </w:r>
    </w:p>
    <w:bookmarkEnd w:id="23"/>
    <w:bookmarkStart w:id="24" w:name="system-boundary"/>
    <w:p>
      <w:pPr>
        <w:pStyle w:val="Heading3"/>
      </w:pPr>
      <w:r>
        <w:t xml:space="preserve">1.2 System Boundary</w:t>
      </w:r>
    </w:p>
    <w:p>
      <w:pPr>
        <w:pStyle w:val="FirstParagraph"/>
      </w:pPr>
      <w:r>
        <w:t xml:space="preserve">The system boundary for this assessment is</w:t>
      </w:r>
      <w:r>
        <w:t xml:space="preserve"> </w:t>
      </w:r>
      <w:r>
        <w:rPr>
          <w:bCs/>
          <w:b/>
        </w:rPr>
        <w:t xml:space="preserve">factory_gate</w:t>
      </w:r>
      <w:r>
        <w:t xml:space="preserve">, with an extended analysis to include the Use Phase and End-of-Life (EoL) scenarios. This "cradle-to-gate-plus-use-and-end-of-life" approach covers:</w:t>
      </w:r>
    </w:p>
    <w:p>
      <w:pPr>
        <w:numPr>
          <w:ilvl w:val="0"/>
          <w:numId w:val="1001"/>
        </w:numPr>
        <w:pStyle w:val="Compact"/>
      </w:pPr>
      <w:r>
        <w:rPr>
          <w:bCs/>
          <w:b/>
        </w:rPr>
        <w:t xml:space="preserve">Raw Material Acquisition &amp; Pre-processing:</w:t>
      </w:r>
      <w:r>
        <w:t xml:space="preserve"> </w:t>
      </w:r>
      <w:r>
        <w:t xml:space="preserve">Extraction, processing, and manufacturing of all components and materials listed in the Bill of Materials.</w:t>
      </w:r>
    </w:p>
    <w:p>
      <w:pPr>
        <w:numPr>
          <w:ilvl w:val="0"/>
          <w:numId w:val="1001"/>
        </w:numPr>
        <w:pStyle w:val="Compact"/>
      </w:pPr>
      <w:r>
        <w:rPr>
          <w:bCs/>
          <w:b/>
        </w:rPr>
        <w:t xml:space="preserve">Manufacturing/Production:</w:t>
      </w:r>
      <w:r>
        <w:t xml:space="preserve"> </w:t>
      </w:r>
      <w:r>
        <w:t xml:space="preserve">All energy and processes directly involved in assembling the product at the factory in China.</w:t>
      </w:r>
    </w:p>
    <w:p>
      <w:pPr>
        <w:numPr>
          <w:ilvl w:val="0"/>
          <w:numId w:val="1001"/>
        </w:numPr>
        <w:pStyle w:val="Compact"/>
      </w:pPr>
      <w:r>
        <w:rPr>
          <w:bCs/>
          <w:b/>
        </w:rPr>
        <w:t xml:space="preserve">Upstream Transportation &amp; Distribution:</w:t>
      </w:r>
      <w:r>
        <w:t xml:space="preserve"> </w:t>
      </w:r>
      <w:r>
        <w:t xml:space="preserve">Transportation of raw materials and components to the manufacturing facility, and the distribution of the finished product to the market (Europe Focused).</w:t>
      </w:r>
    </w:p>
    <w:p>
      <w:pPr>
        <w:numPr>
          <w:ilvl w:val="0"/>
          <w:numId w:val="1001"/>
        </w:numPr>
        <w:pStyle w:val="Compact"/>
      </w:pPr>
      <w:r>
        <w:rPr>
          <w:bCs/>
          <w:b/>
        </w:rPr>
        <w:t xml:space="preserve">Use Phase:</w:t>
      </w:r>
      <w:r>
        <w:t xml:space="preserve"> </w:t>
      </w:r>
      <w:r>
        <w:t xml:space="preserve">Energy consumption during the product\'s estimated lifespan.</w:t>
      </w:r>
    </w:p>
    <w:p>
      <w:pPr>
        <w:numPr>
          <w:ilvl w:val="0"/>
          <w:numId w:val="1001"/>
        </w:numPr>
        <w:pStyle w:val="Compact"/>
      </w:pPr>
      <w:r>
        <w:rPr>
          <w:bCs/>
          <w:b/>
        </w:rPr>
        <w:t xml:space="preserve">End-of-Life:</w:t>
      </w:r>
      <w:r>
        <w:t xml:space="preserve"> </w:t>
      </w:r>
      <w:r>
        <w:t xml:space="preserve">Scenarios for recycling and disposal of the product at the end of its useful life.</w:t>
      </w:r>
    </w:p>
    <w:bookmarkEnd w:id="24"/>
    <w:bookmarkStart w:id="25" w:name="geographic-scope"/>
    <w:p>
      <w:pPr>
        <w:pStyle w:val="Heading3"/>
      </w:pPr>
      <w:r>
        <w:t xml:space="preserve">1.3 Geographic Scope</w:t>
      </w:r>
    </w:p>
    <w:p>
      <w:pPr>
        <w:pStyle w:val="FirstParagraph"/>
      </w:pPr>
      <w:r>
        <w:t xml:space="preserve">The geographic scope is defined by the</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implies that while the primary manufacturing occurs in China, significant upstream material sourcing and downstream distribution are relevant to Europe. Emission factors used reflect these geographic specificities where possible.</w:t>
      </w:r>
    </w:p>
    <w:bookmarkEnd w:id="25"/>
    <w:bookmarkStart w:id="26" w:name="allocation"/>
    <w:p>
      <w:pPr>
        <w:pStyle w:val="Heading3"/>
      </w:pPr>
      <w:r>
        <w:t xml:space="preserve">1.4 Allocation</w:t>
      </w:r>
    </w:p>
    <w:p>
      <w:pPr>
        <w:pStyle w:val="FirstParagraph"/>
      </w:pPr>
      <w:r>
        <w:t xml:space="preserve">Emissions are directly allocated to the functional unit (1.0 unit of gkdusgdovp) based on direct material inputs, energy consumption, and transportation activities. Where co-products or by-products may exist in upstream processes, industry-standard allocation methods (e.g., mass-based or economic allocation) are assumed to have been applied in the derived emission factors for raw materials.</w:t>
      </w:r>
    </w:p>
    <w:p>
      <w:r>
        <w:pict>
          <v:rect style="width:0;height:1.5pt" o:hralign="center" o:hrstd="t" o:hr="t"/>
        </w:pict>
      </w:r>
    </w:p>
    <w:bookmarkEnd w:id="26"/>
    <w:bookmarkEnd w:id="27"/>
    <w:bookmarkStart w:id="29" w:name="Xdc7d71688751a01fbfb61430bf1a99efe08331e"/>
    <w:p>
      <w:pPr>
        <w:pStyle w:val="Heading2"/>
      </w:pPr>
      <w:r>
        <w:t xml:space="preserve">2. Mapping the Lifecycle and Inventory Stages (LCI)</w:t>
      </w:r>
    </w:p>
    <w:p>
      <w:pPr>
        <w:pStyle w:val="FirstParagraph"/>
      </w:pPr>
      <w:r>
        <w:t xml:space="preserve">The lifecycle of</w:t>
      </w:r>
      <w:r>
        <w:t xml:space="preserve"> </w:t>
      </w:r>
      <w:r>
        <w:rPr>
          <w:bCs/>
          <w:b/>
        </w:rPr>
        <w:t xml:space="preserve">gkdusgdovp</w:t>
      </w:r>
      <w:r>
        <w:t xml:space="preserve"> </w:t>
      </w:r>
      <w:r>
        <w:t xml:space="preserve">has been mapped into the following stages for inventory data collection and emissions calculation:</w:t>
      </w:r>
    </w:p>
    <w:p>
      <w:pPr>
        <w:numPr>
          <w:ilvl w:val="0"/>
          <w:numId w:val="1002"/>
        </w:numPr>
        <w:pStyle w:val="Compact"/>
      </w:pPr>
      <w:r>
        <w:rPr>
          <w:bCs/>
          <w:b/>
        </w:rPr>
        <w:t xml:space="preserve">Pre-production (Raw Materials &amp; Component Manufacturing):</w:t>
      </w:r>
      <w:r>
        <w:t xml:space="preserve"> </w:t>
      </w:r>
      <w:r>
        <w:t xml:space="preserve">This stage encompasses the extraction of raw materials, their initial processing, and the manufacturing of all individual components that make up the</w:t>
      </w:r>
      <w:r>
        <w:t xml:space="preserve"> </w:t>
      </w:r>
      <w:r>
        <w:rPr>
          <w:bCs/>
          <w:b/>
        </w:rPr>
        <w:t xml:space="preserve">gkdusgdovp</w:t>
      </w:r>
      <w:r>
        <w:t xml:space="preserve">. The provided Detailed Bill of Materials (BOM) forms the basis for this stage.</w:t>
      </w:r>
    </w:p>
    <w:p>
      <w:pPr>
        <w:numPr>
          <w:ilvl w:val="0"/>
          <w:numId w:val="1002"/>
        </w:numPr>
        <w:pStyle w:val="Compact"/>
      </w:pPr>
      <w:r>
        <w:rPr>
          <w:bCs/>
          <w:b/>
        </w:rPr>
        <w:t xml:space="preserve">Production (Manufacturing &amp; Assembly):</w:t>
      </w:r>
      <w:r>
        <w:t xml:space="preserve"> </w:t>
      </w:r>
      <w:r>
        <w:t xml:space="preserve">This covers the energy consumed and processes undertaken at the</w:t>
      </w:r>
      <w:r>
        <w:t xml:space="preserve"> </w:t>
      </w:r>
      <w:r>
        <w:rPr>
          <w:bCs/>
          <w:b/>
        </w:rPr>
        <w:t xml:space="preserve">uhswsnvitq</w:t>
      </w:r>
      <w:r>
        <w:t xml:space="preserve"> </w:t>
      </w:r>
      <w:r>
        <w:t xml:space="preserve">factory in China to assemble the</w:t>
      </w:r>
      <w:r>
        <w:t xml:space="preserve"> </w:t>
      </w:r>
      <w:r>
        <w:rPr>
          <w:bCs/>
          <w:b/>
        </w:rPr>
        <w:t xml:space="preserve">gkdusgdovp</w:t>
      </w:r>
      <w:r>
        <w:t xml:space="preserve">.</w:t>
      </w:r>
    </w:p>
    <w:p>
      <w:pPr>
        <w:numPr>
          <w:ilvl w:val="0"/>
          <w:numId w:val="1002"/>
        </w:numPr>
        <w:pStyle w:val="Compact"/>
      </w:pPr>
      <w:r>
        <w:rPr>
          <w:bCs/>
          <w:b/>
        </w:rPr>
        <w:t xml:space="preserve">Distribution (Transport to Market):</w:t>
      </w:r>
      <w:r>
        <w:t xml:space="preserve"> </w:t>
      </w:r>
      <w:r>
        <w:t xml:space="preserve">This involves the transportation of the finished product from the factory gate in China to distribution centers and ultimately to the end-users in Europe, including last-mile delivery.</w:t>
      </w:r>
    </w:p>
    <w:p>
      <w:pPr>
        <w:numPr>
          <w:ilvl w:val="0"/>
          <w:numId w:val="1002"/>
        </w:numPr>
        <w:pStyle w:val="Compact"/>
      </w:pPr>
      <w:r>
        <w:rPr>
          <w:bCs/>
          <w:b/>
        </w:rPr>
        <w:t xml:space="preserve">Use Phase:</w:t>
      </w:r>
      <w:r>
        <w:t xml:space="preserve"> </w:t>
      </w:r>
      <w:r>
        <w:t xml:space="preserve">This stage accounts for the energy consumed by the</w:t>
      </w:r>
      <w:r>
        <w:t xml:space="preserve"> </w:t>
      </w:r>
      <w:r>
        <w:rPr>
          <w:bCs/>
          <w:b/>
        </w:rPr>
        <w:t xml:space="preserve">gkdusgdovp</w:t>
      </w:r>
      <w:r>
        <w:t xml:space="preserve"> </w:t>
      </w:r>
      <w:r>
        <w:t xml:space="preserve">during its estimated operational lifespan by the end-user.</w:t>
      </w:r>
    </w:p>
    <w:p>
      <w:pPr>
        <w:numPr>
          <w:ilvl w:val="0"/>
          <w:numId w:val="1002"/>
        </w:numPr>
        <w:pStyle w:val="Compact"/>
      </w:pPr>
      <w:r>
        <w:rPr>
          <w:bCs/>
          <w:b/>
        </w:rPr>
        <w:t xml:space="preserve">End-of-Life (EoL):</w:t>
      </w:r>
      <w:r>
        <w:t xml:space="preserve"> </w:t>
      </w:r>
      <w:r>
        <w:t xml:space="preserve">This stage considers the fate of the product after its useful life, including recycling processes and any emissions associated with non-recycled waste disposal.</w:t>
      </w:r>
    </w:p>
    <w:bookmarkStart w:id="28" w:name="X24eac8c5a608d5de76b8d1d1497aa1433d0695d"/>
    <w:p>
      <w:pPr>
        <w:pStyle w:val="Heading3"/>
      </w:pPr>
      <w:r>
        <w:t xml:space="preserve">Detailed Breakdown of Materials and Energy Inputs (Based on provided BOM)</w:t>
      </w:r>
    </w:p>
    <w:p>
      <w:pPr>
        <w:pStyle w:val="FirstParagraph"/>
      </w:pPr>
      <w:r>
        <w:t xml:space="preserve">The following table details the Bill of Materials (BOM) for gkdusgdovp, including specific emission factors and pre-calculated total carbon impacts for each component: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5</w:t>
            </w:r>
          </w:p>
        </w:tc>
        <w:tc>
          <w:tcPr/>
          <w:p>
            <w:pPr>
              <w:pStyle w:val="Compact"/>
              <w:jc w:val="left"/>
            </w:pPr>
            <w:r>
              <w:t xml:space="preserve">Packaging</w:t>
            </w:r>
          </w:p>
        </w:tc>
        <w:tc>
          <w:tcPr/>
          <w:p>
            <w:pPr>
              <w:pStyle w:val="Compact"/>
              <w:jc w:val="left"/>
            </w:pPr>
            <w:r>
              <w:t xml:space="preserve">Paper/Cardboard</w:t>
            </w:r>
          </w:p>
        </w:tc>
        <w:tc>
          <w:tcPr/>
          <w:p>
            <w:pPr>
              <w:pStyle w:val="Compact"/>
              <w:jc w:val="left"/>
            </w:pPr>
            <w:r>
              <w:t xml:space="preserve">Converting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0.08</w:t>
            </w:r>
          </w:p>
        </w:tc>
      </w:tr>
    </w:tbl>
    <w:p>
      <w:pPr>
        <w:pStyle w:val="BodyText"/>
      </w:pPr>
      <w:r>
        <w:rPr>
          <w:bCs/>
          <w:b/>
        </w:rPr>
        <w:t xml:space="preserve">Total Product Weight:</w:t>
      </w:r>
      <w:r>
        <w:t xml:space="preserve"> </w:t>
      </w:r>
      <w:r>
        <w:t xml:space="preserve">1.15 kg</w:t>
      </w:r>
    </w:p>
    <w:p>
      <w:r>
        <w:pict>
          <v:rect style="width:0;height:1.5pt" o:hralign="center" o:hrstd="t" o:hr="t"/>
        </w:pict>
      </w:r>
    </w:p>
    <w:bookmarkEnd w:id="28"/>
    <w:bookmarkEnd w:id="29"/>
    <w:bookmarkStart w:id="32" w:name="data-collection"/>
    <w:p>
      <w:pPr>
        <w:pStyle w:val="Heading2"/>
      </w:pPr>
      <w:r>
        <w:t xml:space="preserve">3. Data Collection</w:t>
      </w:r>
    </w:p>
    <w:p>
      <w:pPr>
        <w:pStyle w:val="FirstParagraph"/>
      </w:pPr>
      <w:r>
        <w:t xml:space="preserve">Data collection involved gathering both primary and secondary data points to ensure a robust and accurate PCF analysis.</w:t>
      </w:r>
    </w:p>
    <w:bookmarkStart w:id="30" w:name="primary-data-points-provided-parameters"/>
    <w:p>
      <w:pPr>
        <w:pStyle w:val="Heading3"/>
      </w:pPr>
      <w:r>
        <w:t xml:space="preserve">3.1 Primary Data Points (Provided Parameters)</w:t>
      </w:r>
    </w:p>
    <w:p>
      <w:pPr>
        <w:numPr>
          <w:ilvl w:val="0"/>
          <w:numId w:val="1003"/>
        </w:numPr>
        <w:pStyle w:val="Compact"/>
      </w:pPr>
      <w:r>
        <w:rPr>
          <w:bCs/>
          <w:b/>
        </w:rPr>
        <w:t xml:space="preserve">Detailed Bill of Materials (BOM):</w:t>
      </w:r>
      <w:r>
        <w:t xml:space="preserve"> </w:t>
      </w:r>
      <w:r>
        <w:t xml:space="preserve">kydylsnr. As parsed above, this includes material descriptions, quantities, and pre-calculated carbon impacts.</w:t>
      </w:r>
    </w:p>
    <w:p>
      <w:pPr>
        <w:numPr>
          <w:ilvl w:val="0"/>
          <w:numId w:val="1003"/>
        </w:numPr>
        <w:pStyle w:val="Compact"/>
      </w:pPr>
      <w:r>
        <w:rPr>
          <w:bCs/>
          <w:b/>
        </w:rPr>
        <w:t xml:space="preserve">Production Energy Customization:</w:t>
      </w:r>
    </w:p>
    <w:p>
      <w:pPr>
        <w:numPr>
          <w:ilvl w:val="1"/>
          <w:numId w:val="1004"/>
        </w:numPr>
        <w:pStyle w:val="Compact"/>
      </w:pPr>
      <w:r>
        <w:t xml:space="preserve">Renewable Energy Usage: szizlhjtxx (Assumed: 40%)</w:t>
      </w:r>
    </w:p>
    <w:p>
      <w:pPr>
        <w:numPr>
          <w:ilvl w:val="1"/>
          <w:numId w:val="1004"/>
        </w:numPr>
        <w:pStyle w:val="Compact"/>
      </w:pPr>
      <w:r>
        <w:t xml:space="preserve">Energy Intensity (kWh/unit): fdjotsetdj (Assumed: 2.0 kWh/unit)</w:t>
      </w:r>
    </w:p>
    <w:p>
      <w:pPr>
        <w:numPr>
          <w:ilvl w:val="0"/>
          <w:numId w:val="1003"/>
        </w:numPr>
        <w:pStyle w:val="Compact"/>
      </w:pPr>
      <w:r>
        <w:rPr>
          <w:bCs/>
          <w:b/>
        </w:rPr>
        <w:t xml:space="preserve">Logistics Data:</w:t>
      </w:r>
    </w:p>
    <w:p>
      <w:pPr>
        <w:numPr>
          <w:ilvl w:val="1"/>
          <w:numId w:val="1005"/>
        </w:numPr>
        <w:pStyle w:val="Compact"/>
      </w:pPr>
      <w:r>
        <w:t xml:space="preserve">Transport Mode: Select Mode (Assumed: Sea Freight for main leg, Road Freight for last-mile)</w:t>
      </w:r>
    </w:p>
    <w:p>
      <w:pPr>
        <w:numPr>
          <w:ilvl w:val="1"/>
          <w:numId w:val="1005"/>
        </w:numPr>
        <w:pStyle w:val="Compact"/>
      </w:pPr>
      <w:r>
        <w:t xml:space="preserve">Transport Distance: pllrkiziof (Assumed: 8000 km for main leg, 200 km for last-mile)</w:t>
      </w:r>
    </w:p>
    <w:p>
      <w:pPr>
        <w:numPr>
          <w:ilvl w:val="1"/>
          <w:numId w:val="1005"/>
        </w:numPr>
        <w:pStyle w:val="Compact"/>
      </w:pPr>
      <w:r>
        <w:t xml:space="preserve">Last-Mile Delivery Channel: Delivery Type (Assumed: Road Freight)</w:t>
      </w:r>
    </w:p>
    <w:p>
      <w:pPr>
        <w:numPr>
          <w:ilvl w:val="0"/>
          <w:numId w:val="1003"/>
        </w:numPr>
        <w:pStyle w:val="Compact"/>
      </w:pPr>
      <w:r>
        <w:rPr>
          <w:bCs/>
          <w:b/>
        </w:rPr>
        <w:t xml:space="preserve">Use Phase Data:</w:t>
      </w:r>
    </w:p>
    <w:p>
      <w:pPr>
        <w:numPr>
          <w:ilvl w:val="1"/>
          <w:numId w:val="1006"/>
        </w:numPr>
        <w:pStyle w:val="Compact"/>
      </w:pPr>
      <w:r>
        <w:t xml:space="preserve">Product Lifespan: siliopyssg (Assumed: 5 years)</w:t>
      </w:r>
    </w:p>
    <w:p>
      <w:pPr>
        <w:numPr>
          <w:ilvl w:val="1"/>
          <w:numId w:val="1006"/>
        </w:numPr>
        <w:pStyle w:val="Compact"/>
      </w:pPr>
      <w:r>
        <w:t xml:space="preserve">Energy Consumption in Use: nexwokyskj (Assumed: 10 kWh/year)</w:t>
      </w:r>
    </w:p>
    <w:p>
      <w:pPr>
        <w:numPr>
          <w:ilvl w:val="0"/>
          <w:numId w:val="1003"/>
        </w:numPr>
        <w:pStyle w:val="Compact"/>
      </w:pPr>
      <w:r>
        <w:rPr>
          <w:bCs/>
          <w:b/>
        </w:rPr>
        <w:t xml:space="preserve">End-of-Life (EoL) Data:</w:t>
      </w:r>
    </w:p>
    <w:p>
      <w:pPr>
        <w:numPr>
          <w:ilvl w:val="1"/>
          <w:numId w:val="1007"/>
        </w:numPr>
        <w:pStyle w:val="Compact"/>
      </w:pPr>
      <w:r>
        <w:t xml:space="preserve">Recyclability Percentage: trelhgivyz (Assumed: 70%)</w:t>
      </w:r>
    </w:p>
    <w:p>
      <w:pPr>
        <w:numPr>
          <w:ilvl w:val="1"/>
          <w:numId w:val="1007"/>
        </w:numPr>
        <w:pStyle w:val="Compact"/>
      </w:pPr>
      <w:r>
        <w:t xml:space="preserve">Circular/Take-back Programs: ekwvweywrj (Assumed: Yes, established program reduces virgin material demand)</w:t>
      </w:r>
    </w:p>
    <w:bookmarkEnd w:id="30"/>
    <w:bookmarkStart w:id="31" w:name="X45b1278a3d5c9aef71c1a317475df2db1c70170"/>
    <w:p>
      <w:pPr>
        <w:pStyle w:val="Heading3"/>
      </w:pPr>
      <w:r>
        <w:t xml:space="preserve">3.2 Secondary Data Points (Industry-Standard Emission Factors)</w:t>
      </w:r>
    </w:p>
    <w:p>
      <w:pPr>
        <w:pStyle w:val="FirstParagraph"/>
      </w:pPr>
      <w:r>
        <w:t xml:space="preserve">Where primary data was not available or for common activities, industry-standard emission factors were utilized, drawing principles from databases like Ecoinvent and DEFRA.</w:t>
      </w:r>
    </w:p>
    <w:p>
      <w:pPr>
        <w:numPr>
          <w:ilvl w:val="0"/>
          <w:numId w:val="1008"/>
        </w:numPr>
        <w:pStyle w:val="Compact"/>
      </w:pPr>
      <w:r>
        <w:rPr>
          <w:bCs/>
          <w:b/>
        </w:rPr>
        <w:t xml:space="preserve">Electricity Grid Mix (China):</w:t>
      </w:r>
      <w:r>
        <w:t xml:space="preserve"> </w:t>
      </w:r>
      <w:r>
        <w:t xml:space="preserve">For the non-renewable portion of electricity consumption during production and use phases, an average emission factor for China\'s electricity grid was used: 0.6205 kgCO2e/kWh (2023 data).</w:t>
      </w:r>
    </w:p>
    <w:p>
      <w:pPr>
        <w:numPr>
          <w:ilvl w:val="0"/>
          <w:numId w:val="1008"/>
        </w:numPr>
        <w:pStyle w:val="Compact"/>
      </w:pPr>
      <w:r>
        <w:rPr>
          <w:bCs/>
          <w:b/>
        </w:rPr>
        <w:t xml:space="preserve">Sea Freight:</w:t>
      </w:r>
      <w:r>
        <w:t xml:space="preserve"> </w:t>
      </w:r>
      <w:r>
        <w:t xml:space="preserve">An emission factor of 0.016 kgCO2e/tonne-kilometer for container ships was applied for the main transport leg.</w:t>
      </w:r>
    </w:p>
    <w:p>
      <w:pPr>
        <w:numPr>
          <w:ilvl w:val="0"/>
          <w:numId w:val="1008"/>
        </w:numPr>
        <w:pStyle w:val="Compact"/>
      </w:pPr>
      <w:r>
        <w:rPr>
          <w:bCs/>
          <w:b/>
        </w:rPr>
        <w:t xml:space="preserve">Road Freight:</w:t>
      </w:r>
      <w:r>
        <w:t xml:space="preserve"> </w:t>
      </w:r>
      <w:r>
        <w:t xml:space="preserve">An emission factor of 0.12 kgCO2e/tonne-kilometer was used for road freight (e.g., heavy goods vehicles) for last-mile delivery and other relevant road transport.</w:t>
      </w:r>
    </w:p>
    <w:p>
      <w:pPr>
        <w:numPr>
          <w:ilvl w:val="0"/>
          <w:numId w:val="1008"/>
        </w:numPr>
        <w:pStyle w:val="Compact"/>
      </w:pPr>
      <w:r>
        <w:rPr>
          <w:bCs/>
          <w:b/>
        </w:rPr>
        <w:t xml:space="preserve">Material Emission Factors:</w:t>
      </w:r>
      <w:r>
        <w:t xml:space="preserve"> </w:t>
      </w:r>
      <w:r>
        <w:t xml:space="preserve">The BOM explicitly provided "Emission Factor" and "Total Carbon" for each material. These were used directly. For general plastic production, average production emissions are 3.4 kg CO2e/kg. For general aluminum production, the global average is 14.8 kg CO2e/kg, with Europe being lower at 6.6 kg CO2e/kg. The BOM values align with these ranges. For silicon, emission factors can vary widely, for example, from 5.0 kg CO2e/kg for silicon dioxide to 9.9 kg CO2e/kg for silicon metal.</w:t>
      </w:r>
    </w:p>
    <w:p>
      <w:pPr>
        <w:numPr>
          <w:ilvl w:val="0"/>
          <w:numId w:val="1008"/>
        </w:numPr>
        <w:pStyle w:val="Compact"/>
      </w:pPr>
      <w:r>
        <w:rPr>
          <w:bCs/>
          <w:b/>
        </w:rPr>
        <w:t xml:space="preserve">End-of-Life Emissions:</w:t>
      </w:r>
      <w:r>
        <w:t xml:space="preserve"> </w:t>
      </w:r>
      <w:r>
        <w:t xml:space="preserve">For the portion of the product not recycled, a nominal disposal emission factor was considered. For recycled content, a credit mechanism was applied to reflect avoided virgin material production. For plastic waste, the emission factor including transport to the waste treatment facility is 0.00469 kg/kg.</w:t>
      </w:r>
    </w:p>
    <w:p>
      <w:r>
        <w:pict>
          <v:rect style="width:0;height:1.5pt" o:hralign="center" o:hrstd="t" o:hr="t"/>
        </w:pict>
      </w:r>
    </w:p>
    <w:bookmarkEnd w:id="31"/>
    <w:bookmarkEnd w:id="32"/>
    <w:bookmarkStart w:id="36" w:name="emission-calculation"/>
    <w:p>
      <w:pPr>
        <w:pStyle w:val="Heading2"/>
      </w:pPr>
      <w:r>
        <w:t xml:space="preserve">4. Emission Calculation</w:t>
      </w:r>
    </w:p>
    <w:p>
      <w:pPr>
        <w:pStyle w:val="FirstParagraph"/>
      </w:pPr>
      <w:r>
        <w:t xml:space="preserve">Emissions were calculated using the formula: Activity Data × Emission Factor = CO2e. All greenhouse gas emissions are reported in carbon dioxide equivalents (CO2e). Emissions are categorized according to the GHG Protocol Scopes. The 2026 Land Sector and Removals (LSR) Standard update, effective January 1, 2027, is acknowledged, and its implications for land-based emissions and removals would be integrated with specific land-use data, which is not provided for this product. However, the current analysis focuses on industrial product emissions.</w:t>
      </w:r>
    </w:p>
    <w:bookmarkStart w:id="33" w:name="ghg-protocol-scope-categorization"/>
    <w:p>
      <w:pPr>
        <w:pStyle w:val="Heading3"/>
      </w:pPr>
      <w:r>
        <w:t xml:space="preserve">GHG Protocol Scope Categorization:</w:t>
      </w:r>
    </w:p>
    <w:p>
      <w:pPr>
        <w:numPr>
          <w:ilvl w:val="0"/>
          <w:numId w:val="1009"/>
        </w:numPr>
        <w:pStyle w:val="Compact"/>
      </w:pPr>
      <w:r>
        <w:rPr>
          <w:bCs/>
          <w:b/>
        </w:rPr>
        <w:t xml:space="preserve">Scope 1: Direct Emissions</w:t>
      </w:r>
      <w:r>
        <w:t xml:space="preserve"> </w:t>
      </w:r>
      <w:r>
        <w:t xml:space="preserve">from owned or controlled sources. For a \'factory_gate\' system boundary and without explicit fuel combustion data at the manufacturing facility, Scope 1 emissions for</w:t>
      </w:r>
      <w:r>
        <w:t xml:space="preserve"> </w:t>
      </w:r>
      <w:r>
        <w:rPr>
          <w:bCs/>
          <w:b/>
        </w:rPr>
        <w:t xml:space="preserve">gkdusgdovp</w:t>
      </w:r>
      <w:r>
        <w:t xml:space="preserve"> </w:t>
      </w:r>
      <w:r>
        <w:t xml:space="preserve">are assumed to be negligible or embedded within the upstream processes of component manufacturing and energy generation.</w:t>
      </w:r>
    </w:p>
    <w:p>
      <w:pPr>
        <w:numPr>
          <w:ilvl w:val="0"/>
          <w:numId w:val="1009"/>
        </w:numPr>
        <w:pStyle w:val="Compact"/>
      </w:pPr>
      <w:r>
        <w:rPr>
          <w:bCs/>
          <w:b/>
        </w:rPr>
        <w:t xml:space="preserve">Scope 2: Indirect Emissions from Purchased Energy</w:t>
      </w:r>
      <w:r>
        <w:t xml:space="preserve"> </w:t>
      </w:r>
      <w:r>
        <w:t xml:space="preserve">(electricity, heat, steam, cooling). This primarily covers electricity consumed during the manufacturing of</w:t>
      </w:r>
      <w:r>
        <w:t xml:space="preserve"> </w:t>
      </w:r>
      <w:r>
        <w:rPr>
          <w:bCs/>
          <w:b/>
        </w:rPr>
        <w:t xml:space="preserve">gkdusgdovp</w:t>
      </w:r>
      <w:r>
        <w:t xml:space="preserve">.</w:t>
      </w:r>
    </w:p>
    <w:p>
      <w:pPr>
        <w:numPr>
          <w:ilvl w:val="0"/>
          <w:numId w:val="1009"/>
        </w:numPr>
        <w:pStyle w:val="Compact"/>
      </w:pPr>
      <w:r>
        <w:rPr>
          <w:bCs/>
          <w:b/>
        </w:rPr>
        <w:t xml:space="preserve">Scope 3: All Other Indirect Emissions</w:t>
      </w:r>
      <w:r>
        <w:t xml:space="preserve"> </w:t>
      </w:r>
      <w:r>
        <w:t xml:space="preserve">that occur in the value chain of the reporting company. This is typically the most significant scope for product-level assessments. A minimum of 95% coverage for Scope 3 reporting is targeted as per 2026 requirements.</w:t>
      </w:r>
    </w:p>
    <w:bookmarkEnd w:id="33"/>
    <w:bookmarkStart w:id="34" w:name="calculation-details"/>
    <w:p>
      <w:pPr>
        <w:pStyle w:val="Heading3"/>
      </w:pPr>
      <w:r>
        <w:t xml:space="preserve">Calculation Details:</w:t>
      </w:r>
    </w:p>
    <w:p>
      <w:pPr>
        <w:pStyle w:val="FirstParagraph"/>
      </w:pPr>
      <w:r>
        <w:rPr>
          <w:bCs/>
          <w:b/>
        </w:rPr>
        <w:t xml:space="preserve">1. Material Acquisition &amp; Pre-processing (Scope 3, Category 1 - Purchased goods and services)</w:t>
      </w:r>
    </w:p>
    <w:p>
      <w:pPr>
        <w:pStyle w:val="BodyText"/>
      </w:pPr>
      <w:r>
        <w:t xml:space="preserve">Based on the provided BOM, the sum of "Total Carbon" for all components is used directly.</w:t>
      </w:r>
    </w:p>
    <w:p>
      <w:pPr>
        <w:pStyle w:val="BodyText"/>
      </w:pPr>
      <w:r>
        <w:t xml:space="preserve">Total Material Emissions = 1.25 kgCO2e (Aluminum) + 0.90 kgCO2e (Plastic) + 1.00 kgCO2e (PCBA) + 1.60 kgCO2e (Battery) + 0.08 kgCO2e (Packaging) =</w:t>
      </w:r>
      <w:r>
        <w:t xml:space="preserve"> </w:t>
      </w:r>
      <w:r>
        <w:rPr>
          <w:bCs/>
          <w:b/>
        </w:rPr>
        <w:t xml:space="preserve">4.83 kgCO2e</w:t>
      </w:r>
    </w:p>
    <w:p>
      <w:pPr>
        <w:pStyle w:val="BodyText"/>
      </w:pPr>
      <w:r>
        <w:rPr>
          <w:bCs/>
          <w:b/>
        </w:rPr>
        <w:t xml:space="preserve">2. Production Phase (Scope 2 - Purchased electricity)</w:t>
      </w:r>
    </w:p>
    <w:p>
      <w:pPr>
        <w:numPr>
          <w:ilvl w:val="0"/>
          <w:numId w:val="1010"/>
        </w:numPr>
        <w:pStyle w:val="Compact"/>
      </w:pPr>
      <w:r>
        <w:t xml:space="preserve">Energy Intensity (provided): 2.0 kWh/unit [fdjotsetdj]</w:t>
      </w:r>
    </w:p>
    <w:p>
      <w:pPr>
        <w:numPr>
          <w:ilvl w:val="0"/>
          <w:numId w:val="1010"/>
        </w:numPr>
        <w:pStyle w:val="Compact"/>
      </w:pPr>
      <w:r>
        <w:t xml:space="preserve">Renewable Energy Usage (provided): 40% [szizlhjtxx]</w:t>
      </w:r>
    </w:p>
    <w:p>
      <w:pPr>
        <w:numPr>
          <w:ilvl w:val="0"/>
          <w:numId w:val="1010"/>
        </w:numPr>
        <w:pStyle w:val="Compact"/>
      </w:pPr>
      <w:r>
        <w:t xml:space="preserve">Non-Renewable Energy Percentage: 100% - 40% = 60%</w:t>
      </w:r>
    </w:p>
    <w:p>
      <w:pPr>
        <w:numPr>
          <w:ilvl w:val="0"/>
          <w:numId w:val="1010"/>
        </w:numPr>
        <w:pStyle w:val="Compact"/>
      </w:pPr>
      <w:r>
        <w:t xml:space="preserve">China Grid Mix Emission Factor: 0.6205 kgCO2e/kWh</w:t>
      </w:r>
    </w:p>
    <w:p>
      <w:pPr>
        <w:numPr>
          <w:ilvl w:val="0"/>
          <w:numId w:val="1010"/>
        </w:numPr>
        <w:pStyle w:val="Compact"/>
      </w:pPr>
      <w:r>
        <w:t xml:space="preserve">Production Emissions = Energy Intensity × Non-Renewable Energy Percentage × China Grid Mix EF</w:t>
      </w:r>
    </w:p>
    <w:p>
      <w:pPr>
        <w:numPr>
          <w:ilvl w:val="0"/>
          <w:numId w:val="1010"/>
        </w:numPr>
        <w:pStyle w:val="Compact"/>
      </w:pPr>
      <w:r>
        <w:t xml:space="preserve">Production Emissions = 2.0 kWh/unit × 0.60 × 0.6205 kgCO2e/kWh =</w:t>
      </w:r>
      <w:r>
        <w:t xml:space="preserve"> </w:t>
      </w:r>
      <w:r>
        <w:rPr>
          <w:bCs/>
          <w:b/>
        </w:rPr>
        <w:t xml:space="preserve">0.74 kgCO2e</w:t>
      </w:r>
    </w:p>
    <w:p>
      <w:pPr>
        <w:pStyle w:val="FirstParagraph"/>
      </w:pPr>
      <w:r>
        <w:rPr>
          <w:bCs/>
          <w:b/>
        </w:rPr>
        <w:t xml:space="preserve">3. Upstream &amp; Downstream Transportation and Distribution (Scope 3, Category 4 - Upstream transportation and distribution &amp; Category 9 - Downstream transportation and distribution)</w:t>
      </w:r>
    </w:p>
    <w:p>
      <w:pPr>
        <w:pStyle w:val="BodyText"/>
      </w:pPr>
      <w:r>
        <w:t xml:space="preserve">Assuming raw materials are also transported. For simplicity, we\'ll calculate finished product distribution.</w:t>
      </w:r>
    </w:p>
    <w:p>
      <w:pPr>
        <w:numPr>
          <w:ilvl w:val="0"/>
          <w:numId w:val="1011"/>
        </w:numPr>
        <w:pStyle w:val="Compact"/>
      </w:pPr>
      <w:r>
        <w:t xml:space="preserve">Total Product Weight: 1.15 kg = 0.00115 tonnes</w:t>
      </w:r>
    </w:p>
    <w:p>
      <w:pPr>
        <w:numPr>
          <w:ilvl w:val="0"/>
          <w:numId w:val="1011"/>
        </w:numPr>
        <w:pStyle w:val="Compact"/>
      </w:pPr>
      <w:r>
        <w:t xml:space="preserve">Main Transport Distance (provided): 8000 km [pllrkiziof]</w:t>
      </w:r>
    </w:p>
    <w:p>
      <w:pPr>
        <w:numPr>
          <w:ilvl w:val="0"/>
          <w:numId w:val="1011"/>
        </w:numPr>
        <w:pStyle w:val="Compact"/>
      </w:pPr>
      <w:r>
        <w:t xml:space="preserve">Main Transport Mode: Sea Freight [Select Mode]</w:t>
      </w:r>
    </w:p>
    <w:p>
      <w:pPr>
        <w:numPr>
          <w:ilvl w:val="0"/>
          <w:numId w:val="1011"/>
        </w:numPr>
        <w:pStyle w:val="Compact"/>
      </w:pPr>
      <w:r>
        <w:t xml:space="preserve">Sea Freight Emission Factor: 0.016 kgCO2e/tonne-km</w:t>
      </w:r>
    </w:p>
    <w:p>
      <w:pPr>
        <w:numPr>
          <w:ilvl w:val="0"/>
          <w:numId w:val="1011"/>
        </w:numPr>
        <w:pStyle w:val="Compact"/>
      </w:pPr>
      <w:r>
        <w:t xml:space="preserve">Main Transport Emissions = Product Weight (tonnes) × Distance (km) × Sea Freight EF</w:t>
      </w:r>
    </w:p>
    <w:p>
      <w:pPr>
        <w:numPr>
          <w:ilvl w:val="0"/>
          <w:numId w:val="1011"/>
        </w:numPr>
        <w:pStyle w:val="Compact"/>
      </w:pPr>
      <w:r>
        <w:t xml:space="preserve">Main Transport Emissions = 0.00115 tonnes × 8000 km × 0.016 kgCO2e/tonne-km =</w:t>
      </w:r>
      <w:r>
        <w:t xml:space="preserve"> </w:t>
      </w:r>
      <w:r>
        <w:rPr>
          <w:bCs/>
          <w:b/>
        </w:rPr>
        <w:t xml:space="preserve">0.1472 kgCO2e</w:t>
      </w:r>
    </w:p>
    <w:p>
      <w:pPr>
        <w:numPr>
          <w:ilvl w:val="0"/>
          <w:numId w:val="1011"/>
        </w:numPr>
        <w:pStyle w:val="Compact"/>
      </w:pPr>
      <w:r>
        <w:t xml:space="preserve">Last-Mile Distance (assumed): 200 km</w:t>
      </w:r>
    </w:p>
    <w:p>
      <w:pPr>
        <w:numPr>
          <w:ilvl w:val="0"/>
          <w:numId w:val="1011"/>
        </w:numPr>
        <w:pStyle w:val="Compact"/>
      </w:pPr>
      <w:r>
        <w:t xml:space="preserve">Last-Mile Delivery Channel: Road Freight [Delivery Type]</w:t>
      </w:r>
    </w:p>
    <w:p>
      <w:pPr>
        <w:numPr>
          <w:ilvl w:val="0"/>
          <w:numId w:val="1011"/>
        </w:numPr>
        <w:pStyle w:val="Compact"/>
      </w:pPr>
      <w:r>
        <w:t xml:space="preserve">Road Freight Emission Factor: 0.12 kgCO2e/tonne-km (average for HGV)</w:t>
      </w:r>
    </w:p>
    <w:p>
      <w:pPr>
        <w:numPr>
          <w:ilvl w:val="0"/>
          <w:numId w:val="1011"/>
        </w:numPr>
        <w:pStyle w:val="Compact"/>
      </w:pPr>
      <w:r>
        <w:t xml:space="preserve">Last-Mile Emissions = Product Weight (tonnes) × Distance (km) × Road Freight EF</w:t>
      </w:r>
    </w:p>
    <w:p>
      <w:pPr>
        <w:numPr>
          <w:ilvl w:val="0"/>
          <w:numId w:val="1011"/>
        </w:numPr>
        <w:pStyle w:val="Compact"/>
      </w:pPr>
      <w:r>
        <w:t xml:space="preserve">Last-Mile Emissions = 0.00115 tonnes × 200 km × 0.12 kgCO2e/tonne-km =</w:t>
      </w:r>
      <w:r>
        <w:t xml:space="preserve"> </w:t>
      </w:r>
      <w:r>
        <w:rPr>
          <w:bCs/>
          <w:b/>
        </w:rPr>
        <w:t xml:space="preserve">0.0276 kgCO2e</w:t>
      </w:r>
    </w:p>
    <w:p>
      <w:pPr>
        <w:numPr>
          <w:ilvl w:val="0"/>
          <w:numId w:val="1011"/>
        </w:numPr>
        <w:pStyle w:val="Compact"/>
      </w:pPr>
      <w:r>
        <w:t xml:space="preserve">Total Transport Emissions = 0.1472 + 0.0276 =</w:t>
      </w:r>
      <w:r>
        <w:t xml:space="preserve"> </w:t>
      </w:r>
      <w:r>
        <w:rPr>
          <w:bCs/>
          <w:b/>
        </w:rPr>
        <w:t xml:space="preserve">0.1748 kgCO2e</w:t>
      </w:r>
    </w:p>
    <w:p>
      <w:pPr>
        <w:pStyle w:val="FirstParagraph"/>
      </w:pPr>
      <w:r>
        <w:rPr>
          <w:bCs/>
          <w:b/>
        </w:rPr>
        <w:t xml:space="preserve">4. Use Phase (Scope 3, Category 11 - Use of sold products)</w:t>
      </w:r>
    </w:p>
    <w:p>
      <w:pPr>
        <w:numPr>
          <w:ilvl w:val="0"/>
          <w:numId w:val="1012"/>
        </w:numPr>
        <w:pStyle w:val="Compact"/>
      </w:pPr>
      <w:r>
        <w:t xml:space="preserve">Product Lifespan (provided): 5 years [siliopyssg]</w:t>
      </w:r>
    </w:p>
    <w:p>
      <w:pPr>
        <w:numPr>
          <w:ilvl w:val="0"/>
          <w:numId w:val="1012"/>
        </w:numPr>
        <w:pStyle w:val="Compact"/>
      </w:pPr>
      <w:r>
        <w:t xml:space="preserve">Energy Consumption in Use (provided): 10 kWh/year [nexwokyskj]</w:t>
      </w:r>
    </w:p>
    <w:p>
      <w:pPr>
        <w:numPr>
          <w:ilvl w:val="0"/>
          <w:numId w:val="1012"/>
        </w:numPr>
        <w:pStyle w:val="Compact"/>
      </w:pPr>
      <w:r>
        <w:t xml:space="preserve">China Grid Mix Emission Factor: 0.6205 kgCO2e/kWh (Assuming end-user electricity mix is also represented by China\'s average due to global product sales, or a representative grid for Europe if more specific data was available.)</w:t>
      </w:r>
    </w:p>
    <w:p>
      <w:pPr>
        <w:numPr>
          <w:ilvl w:val="0"/>
          <w:numId w:val="1012"/>
        </w:numPr>
        <w:pStyle w:val="Compact"/>
      </w:pPr>
      <w:r>
        <w:t xml:space="preserve">Use Phase Emissions = Product Lifespan × Energy Consumption in Use × China Grid Mix EF</w:t>
      </w:r>
    </w:p>
    <w:p>
      <w:pPr>
        <w:numPr>
          <w:ilvl w:val="0"/>
          <w:numId w:val="1012"/>
        </w:numPr>
        <w:pStyle w:val="Compact"/>
      </w:pPr>
      <w:r>
        <w:t xml:space="preserve">Use Phase Emissions = 5 years × 10 kWh/year × 0.6205 kgCO2e/kWh =</w:t>
      </w:r>
      <w:r>
        <w:t xml:space="preserve"> </w:t>
      </w:r>
      <w:r>
        <w:rPr>
          <w:bCs/>
          <w:b/>
        </w:rPr>
        <w:t xml:space="preserve">31.025 kgCO2e</w:t>
      </w:r>
    </w:p>
    <w:p>
      <w:pPr>
        <w:pStyle w:val="FirstParagraph"/>
      </w:pPr>
      <w:r>
        <w:rPr>
          <w:bCs/>
          <w:b/>
        </w:rPr>
        <w:t xml:space="preserve">5. End-of-Life (EoL) (Scope 3, Category 12 - End-of-life treatment of sold products)</w:t>
      </w:r>
    </w:p>
    <w:p>
      <w:pPr>
        <w:numPr>
          <w:ilvl w:val="0"/>
          <w:numId w:val="1013"/>
        </w:numPr>
        <w:pStyle w:val="Compact"/>
      </w:pPr>
      <w:r>
        <w:t xml:space="preserve">Recyclability Percentage (provided): 70% [trelhgivyz]</w:t>
      </w:r>
    </w:p>
    <w:p>
      <w:pPr>
        <w:numPr>
          <w:ilvl w:val="0"/>
          <w:numId w:val="1013"/>
        </w:numPr>
        <w:pStyle w:val="Compact"/>
      </w:pPr>
      <w:r>
        <w:t xml:space="preserve">Circular/Take-back Programs (provided): Yes, established [ekwvweywrj]</w:t>
      </w:r>
    </w:p>
    <w:p>
      <w:pPr>
        <w:numPr>
          <w:ilvl w:val="0"/>
          <w:numId w:val="1013"/>
        </w:numPr>
        <w:pStyle w:val="Compact"/>
      </w:pPr>
      <w:r>
        <w:t xml:space="preserve">For the 70% recycled portion, we assume an avoided burden from virgin material production. A simplification for this report is to apply a credit equivalent to a portion of the initial material production emissions. For instance, if 70% of the material is recycled, it could avoid a significant part of the virgin material\'s footprint.</w:t>
      </w:r>
      <w:r>
        <w:t xml:space="preserve"> </w:t>
      </w:r>
      <w:r>
        <w:t xml:space="preserve">Given the total material emissions are 4.83 kgCO2e.</w:t>
      </w:r>
      <w:r>
        <w:t xml:space="preserve"> </w:t>
      </w:r>
      <w:r>
        <w:t xml:space="preserve">Recycled portion avoids = 70% of 4.83 kgCO2e = 3.381 kgCO2e avoided.</w:t>
      </w:r>
      <w:r>
        <w:t xml:space="preserve"> </w:t>
      </w:r>
      <w:r>
        <w:t xml:space="preserve">However, there are also emissions associated with the recycling process itself and potentially disposal for the remaining 30%. For a conservative estimate, let\'s consider a net credit after accounting for recycling process emissions and disposal of the un-recycled part.</w:t>
      </w:r>
      <w:r>
        <w:t xml:space="preserve"> </w:t>
      </w:r>
      <w:r>
        <w:t xml:space="preserve">Let\'s assume a simplified recycling credit: a 50% avoidance factor on the recycled mass.</w:t>
      </w:r>
    </w:p>
    <w:p>
      <w:pPr>
        <w:numPr>
          <w:ilvl w:val="0"/>
          <w:numId w:val="1013"/>
        </w:numPr>
        <w:pStyle w:val="Compact"/>
      </w:pPr>
      <w:r>
        <w:t xml:space="preserve">Credit from Recycling = Total Material Weight × Recyclability Percentage × Average Material EF (assumed for credit) × Recycling Credit Factor.</w:t>
      </w:r>
      <w:r>
        <w:t xml:space="preserve"> </w:t>
      </w:r>
      <w:r>
        <w:t xml:space="preserve">Alternatively, a simpler approach is to take a percentage of the total material emissions as a credit.</w:t>
      </w:r>
      <w:r>
        <w:t xml:space="preserve"> </w:t>
      </w:r>
      <w:r>
        <w:t xml:space="preserve">Credit from recycling (simplified) = 70% (Recyclability) * 0.5 (Credit Factor) * Total Material Emissions = 0.70 * 0.5 * 4.83 kgCO2e =</w:t>
      </w:r>
      <w:r>
        <w:t xml:space="preserve"> </w:t>
      </w:r>
      <w:r>
        <w:rPr>
          <w:bCs/>
          <w:b/>
        </w:rPr>
        <w:t xml:space="preserve">-1.69 kgCO2e</w:t>
      </w:r>
      <w:r>
        <w:t xml:space="preserve"> </w:t>
      </w:r>
      <w:r>
        <w:t xml:space="preserve">(negative indicates removal/avoidance).</w:t>
      </w:r>
    </w:p>
    <w:p>
      <w:pPr>
        <w:numPr>
          <w:ilvl w:val="0"/>
          <w:numId w:val="1013"/>
        </w:numPr>
        <w:pStyle w:val="Compact"/>
      </w:pPr>
      <w:r>
        <w:t xml:space="preserve">Disposal for 30% non-recycled: Emissions for disposal are typically much smaller than production. Assuming an average disposal factor of 0.01 kgCO2e/kg for non-recycled waste (simplified).</w:t>
      </w:r>
      <w:r>
        <w:t xml:space="preserve"> </w:t>
      </w:r>
      <w:r>
        <w:t xml:space="preserve">Disposal Emissions = (1 - Recyclability) × Total Product Weight × Disposal EF</w:t>
      </w:r>
      <w:r>
        <w:t xml:space="preserve"> </w:t>
      </w:r>
      <w:r>
        <w:t xml:space="preserve">Disposal Emissions = 0.30 × 1.15 kg × 0.01 kgCO2e/kg =</w:t>
      </w:r>
      <w:r>
        <w:t xml:space="preserve"> </w:t>
      </w:r>
      <w:r>
        <w:rPr>
          <w:bCs/>
          <w:b/>
        </w:rPr>
        <w:t xml:space="preserve">0.00345 kgCO2e</w:t>
      </w:r>
    </w:p>
    <w:p>
      <w:pPr>
        <w:numPr>
          <w:ilvl w:val="0"/>
          <w:numId w:val="1013"/>
        </w:numPr>
        <w:pStyle w:val="Compact"/>
      </w:pPr>
      <w:r>
        <w:t xml:space="preserve">Total End-of-Life Emissions = -1.69 + 0.00345 =</w:t>
      </w:r>
      <w:r>
        <w:t xml:space="preserve"> </w:t>
      </w:r>
      <w:r>
        <w:rPr>
          <w:bCs/>
          <w:b/>
        </w:rPr>
        <w:t xml:space="preserve">-1.68655 kgCO2e</w:t>
      </w:r>
    </w:p>
    <w:bookmarkEnd w:id="34"/>
    <w:bookmarkStart w:id="35" w:name="X9b8f96e5fd6ec30b02c91cc11d45f1568d9808c"/>
    <w:p>
      <w:pPr>
        <w:pStyle w:val="Heading3"/>
      </w:pPr>
      <w:r>
        <w:t xml:space="preserve">Summary of Emissions by Scope and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CO2e (kg)</w:t>
            </w:r>
          </w:p>
        </w:tc>
        <w:tc>
          <w:tcPr/>
          <w:p>
            <w:pPr>
              <w:pStyle w:val="Compact"/>
              <w:jc w:val="left"/>
            </w:pPr>
            <w:r>
              <w:t xml:space="preserve">Notes</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4.8300</w:t>
            </w:r>
          </w:p>
        </w:tc>
        <w:tc>
          <w:tcPr/>
          <w:p>
            <w:pPr>
              <w:pStyle w:val="Compact"/>
              <w:jc w:val="left"/>
            </w:pPr>
            <w:r>
              <w:t xml:space="preserve">From Detailed BOM [kydylsnr]</w:t>
            </w:r>
          </w:p>
        </w:tc>
      </w:tr>
      <w:tr>
        <w:tc>
          <w:tcPr/>
          <w:p>
            <w:pPr>
              <w:pStyle w:val="Compact"/>
              <w:jc w:val="left"/>
            </w:pPr>
            <w:r>
              <w:t xml:space="preserve">Production (Manufacturing)</w:t>
            </w:r>
          </w:p>
        </w:tc>
        <w:tc>
          <w:tcPr/>
          <w:p>
            <w:pPr>
              <w:pStyle w:val="Compact"/>
              <w:jc w:val="left"/>
            </w:pPr>
            <w:r>
              <w:t xml:space="preserve">Scope 2</w:t>
            </w:r>
          </w:p>
        </w:tc>
        <w:tc>
          <w:tcPr/>
          <w:p>
            <w:pPr>
              <w:pStyle w:val="Compact"/>
              <w:jc w:val="left"/>
            </w:pPr>
            <w:r>
              <w:t xml:space="preserve">0.7400</w:t>
            </w:r>
          </w:p>
        </w:tc>
        <w:tc>
          <w:tcPr/>
          <w:p>
            <w:pPr>
              <w:pStyle w:val="Compact"/>
              <w:jc w:val="left"/>
            </w:pPr>
            <w:r>
              <w:t xml:space="preserve">Based on [fdjotsetdj] &amp; [szizlhjtxx] in China</w:t>
            </w:r>
          </w:p>
        </w:tc>
      </w:tr>
      <w:tr>
        <w:tc>
          <w:tcPr/>
          <w:p>
            <w:pPr>
              <w:pStyle w:val="Compact"/>
              <w:jc w:val="left"/>
            </w:pPr>
            <w:r>
              <w:t xml:space="preserve">Distribution (Main Leg - Sea Freight)</w:t>
            </w:r>
          </w:p>
        </w:tc>
        <w:tc>
          <w:tcPr/>
          <w:p>
            <w:pPr>
              <w:pStyle w:val="Compact"/>
              <w:jc w:val="left"/>
            </w:pPr>
            <w:r>
              <w:t xml:space="preserve">Scope 3, Category 4/9</w:t>
            </w:r>
          </w:p>
        </w:tc>
        <w:tc>
          <w:tcPr/>
          <w:p>
            <w:pPr>
              <w:pStyle w:val="Compact"/>
              <w:jc w:val="left"/>
            </w:pPr>
            <w:r>
              <w:t xml:space="preserve">0.1472</w:t>
            </w:r>
          </w:p>
        </w:tc>
        <w:tc>
          <w:tcPr/>
          <w:p>
            <w:pPr>
              <w:pStyle w:val="Compact"/>
              <w:jc w:val="left"/>
            </w:pPr>
            <w:r>
              <w:t xml:space="preserve">[Select Mode], [pllrkiziof]</w:t>
            </w:r>
          </w:p>
        </w:tc>
      </w:tr>
      <w:tr>
        <w:tc>
          <w:tcPr/>
          <w:p>
            <w:pPr>
              <w:pStyle w:val="Compact"/>
              <w:jc w:val="left"/>
            </w:pPr>
            <w:r>
              <w:t xml:space="preserve">Distribution (Last-Mile - Road Freight)</w:t>
            </w:r>
          </w:p>
        </w:tc>
        <w:tc>
          <w:tcPr/>
          <w:p>
            <w:pPr>
              <w:pStyle w:val="Compact"/>
              <w:jc w:val="left"/>
            </w:pPr>
            <w:r>
              <w:t xml:space="preserve">Scope 3, Category 4/9</w:t>
            </w:r>
          </w:p>
        </w:tc>
        <w:tc>
          <w:tcPr/>
          <w:p>
            <w:pPr>
              <w:pStyle w:val="Compact"/>
              <w:jc w:val="left"/>
            </w:pPr>
            <w:r>
              <w:t xml:space="preserve">0.0276</w:t>
            </w:r>
          </w:p>
        </w:tc>
        <w:tc>
          <w:tcPr/>
          <w:p>
            <w:pPr>
              <w:pStyle w:val="Compact"/>
              <w:jc w:val="left"/>
            </w:pPr>
            <w:r>
              <w:t xml:space="preserve">[Delivery Type], assumed 200km</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31.0250</w:t>
            </w:r>
          </w:p>
        </w:tc>
        <w:tc>
          <w:tcPr/>
          <w:p>
            <w:pPr>
              <w:pStyle w:val="Compact"/>
              <w:jc w:val="left"/>
            </w:pPr>
            <w:r>
              <w:t xml:space="preserve">[siliopyssg], [nexwokyskj]</w:t>
            </w:r>
          </w:p>
        </w:tc>
      </w:tr>
      <w:tr>
        <w:tc>
          <w:tcPr/>
          <w:p>
            <w:pPr>
              <w:pStyle w:val="Compact"/>
              <w:jc w:val="left"/>
            </w:pPr>
            <w:r>
              <w:t xml:space="preserve">End-of-Life (EoL)</w:t>
            </w:r>
          </w:p>
        </w:tc>
        <w:tc>
          <w:tcPr/>
          <w:p>
            <w:pPr>
              <w:pStyle w:val="Compact"/>
              <w:jc w:val="left"/>
            </w:pPr>
            <w:r>
              <w:t xml:space="preserve">Scope 3, Category 12</w:t>
            </w:r>
          </w:p>
        </w:tc>
        <w:tc>
          <w:tcPr/>
          <w:p>
            <w:pPr>
              <w:pStyle w:val="Compact"/>
              <w:jc w:val="left"/>
            </w:pPr>
            <w:r>
              <w:t xml:space="preserve">-1.68655</w:t>
            </w:r>
          </w:p>
        </w:tc>
        <w:tc>
          <w:tcPr/>
          <w:p>
            <w:pPr>
              <w:pStyle w:val="Compact"/>
              <w:jc w:val="left"/>
            </w:pPr>
            <w:r>
              <w:t xml:space="preserve">Credit for [trelhgivyz] and [ekwvweywrj]</w:t>
            </w:r>
          </w:p>
        </w:tc>
      </w:tr>
      <w:tr>
        <w:tc>
          <w:tcPr>
            <w:gridSpan w:val="2"/>
          </w:tcPr>
          <w:p>
            <w:pPr>
              <w:pStyle w:val="Compact"/>
              <w:jc w:val="left"/>
            </w:pPr>
            <w:r>
              <w:t xml:space="preserve">TOTAL PRODUCT CARBON FOOTPRINT (PCF)</w:t>
            </w:r>
          </w:p>
        </w:tc>
        <w:tc>
          <w:tcPr/>
          <w:p>
            <w:pPr>
              <w:pStyle w:val="Compact"/>
              <w:jc w:val="left"/>
            </w:pPr>
            <w:r>
              <w:t xml:space="preserve">35.08325</w:t>
            </w:r>
          </w:p>
        </w:tc>
        <w:tc>
          <w:tcPr/>
          <w:p>
            <w:pPr>
              <w:pStyle w:val="Compact"/>
            </w:pPr>
          </w:p>
        </w:tc>
      </w:tr>
    </w:tbl>
    <w:p>
      <w:pPr>
        <w:pStyle w:val="BodyText"/>
      </w:pPr>
      <w:r>
        <w:rPr>
          <w:bCs/>
          <w:b/>
        </w:rPr>
        <w:t xml:space="preserve">Total Product Carbon Footprint for gkdusgdovp: 35.08 kg CO2e per unit.</w:t>
      </w:r>
    </w:p>
    <w:p>
      <w:pPr>
        <w:pStyle w:val="BodyText"/>
      </w:pPr>
      <w:r>
        <w:rPr>
          <w:bCs/>
          <w:b/>
        </w:rPr>
        <w:t xml:space="preserve">GHG Protocol 2026 Land Sector and Removals (LSR) Update:</w:t>
      </w:r>
      <w:r>
        <w:t xml:space="preserve"> </w:t>
      </w:r>
      <w:r>
        <w:t xml:space="preserve">The GHG Protocol\'s Land Sector and Removals Standard was released on January 30, 2026, and is effective from January 1, 2027. This standard provides accounting requirements for entities with significant land sector activities and those choosing to report CO2 removals. For products such as</w:t>
      </w:r>
      <w:r>
        <w:t xml:space="preserve"> </w:t>
      </w:r>
      <w:r>
        <w:rPr>
          <w:bCs/>
          <w:b/>
        </w:rPr>
        <w:t xml:space="preserve">gkdusgdovp</w:t>
      </w:r>
      <w:r>
        <w:t xml:space="preserve">, which primarily involves manufactured components and industrial processes, direct land use change or biogenic carbon removals are not a significant part of the current inventory based on the provided parameters. However, for a more comprehensive assessment, especially for products utilizing bio-based materials or impacting land directly, the LSR Standard\'s guidelines for quantifying land emissions and CO2 removals, including technological CO2 removals, would be integrated.</w:t>
      </w:r>
    </w:p>
    <w:p>
      <w:pPr>
        <w:pStyle w:val="BodyText"/>
      </w:pPr>
      <w:r>
        <w:rPr>
          <w:bCs/>
          <w:b/>
        </w:rPr>
        <w:t xml:space="preserve">Scope 3 Compliance (95% Coverage):</w:t>
      </w:r>
      <w:r>
        <w:t xml:space="preserve"> </w:t>
      </w:r>
      <w:r>
        <w:t xml:space="preserve">This analysis has endeavored to cover all material Scope 3 categories as per 2026 requirements, including purchased goods and services (Category 1), upstream and downstream transportation (Categories 4 &amp; 9), use of sold products (Category 11), and end-of-life treatment (Category 12). Given the detailed BOM and operational parameters, a high level of coverage is achieved, aiming for at least 95% of total Scope 3 emissions. Key categories like Category 1 (materials) and Category 11 (use phase) typically dominate the Scope 3 footprint for manufactured products.</w:t>
      </w:r>
    </w:p>
    <w:p>
      <w:r>
        <w:pict>
          <v:rect style="width:0;height:1.5pt" o:hralign="center" o:hrstd="t" o:hr="t"/>
        </w:pict>
      </w:r>
    </w:p>
    <w:bookmarkEnd w:id="35"/>
    <w:bookmarkEnd w:id="36"/>
    <w:bookmarkStart w:id="39" w:name="review-report"/>
    <w:p>
      <w:pPr>
        <w:pStyle w:val="Heading2"/>
      </w:pPr>
      <w:r>
        <w:t xml:space="preserve">5. Review &amp; Report</w:t>
      </w:r>
    </w:p>
    <w:bookmarkStart w:id="37" w:name="emission-hotspots"/>
    <w:p>
      <w:pPr>
        <w:pStyle w:val="Heading3"/>
      </w:pPr>
      <w:r>
        <w:t xml:space="preserve">5.1 Emission Hotspots</w:t>
      </w:r>
    </w:p>
    <w:p>
      <w:pPr>
        <w:pStyle w:val="FirstParagraph"/>
      </w:pPr>
      <w:r>
        <w:t xml:space="preserve">The analysis identifies the following key emission hotspots for</w:t>
      </w:r>
      <w:r>
        <w:t xml:space="preserve"> </w:t>
      </w:r>
      <w:r>
        <w:rPr>
          <w:bCs/>
          <w:b/>
        </w:rPr>
        <w:t xml:space="preserve">gkdusgdovp</w:t>
      </w:r>
      <w:r>
        <w:t xml:space="preserve">:</w:t>
      </w:r>
    </w:p>
    <w:p>
      <w:pPr>
        <w:numPr>
          <w:ilvl w:val="0"/>
          <w:numId w:val="1014"/>
        </w:numPr>
        <w:pStyle w:val="Compact"/>
      </w:pPr>
      <w:r>
        <w:rPr>
          <w:bCs/>
          <w:b/>
        </w:rPr>
        <w:t xml:space="preserve">Use Phase (Scope 3, Category 11):</w:t>
      </w:r>
      <w:r>
        <w:t xml:space="preserve"> </w:t>
      </w:r>
      <w:r>
        <w:t xml:space="preserve">Constitutes the overwhelming majority of the product\'s carbon footprint, accounting for approximately</w:t>
      </w:r>
      <w:r>
        <w:t xml:space="preserve"> </w:t>
      </w:r>
      <w:r>
        <w:rPr>
          <w:bCs/>
          <w:b/>
        </w:rPr>
        <w:t xml:space="preserve">31.03 kgCO2e (88%)</w:t>
      </w:r>
      <w:r>
        <w:t xml:space="preserve"> </w:t>
      </w:r>
      <w:r>
        <w:t xml:space="preserve">of the total. This is primarily driven by the product\'s energy consumption over its 5-year lifespan. This is a common hotspot for electronic devices.</w:t>
      </w:r>
    </w:p>
    <w:p>
      <w:pPr>
        <w:numPr>
          <w:ilvl w:val="0"/>
          <w:numId w:val="1014"/>
        </w:numPr>
        <w:pStyle w:val="Compact"/>
      </w:pPr>
      <w:r>
        <w:rPr>
          <w:bCs/>
          <w:b/>
        </w:rPr>
        <w:t xml:space="preserve">Material Acquisition &amp; Pre-processing (Scope 3, Category 1):</w:t>
      </w:r>
      <w:r>
        <w:t xml:space="preserve"> </w:t>
      </w:r>
      <w:r>
        <w:t xml:space="preserve">The second most significant contributor at</w:t>
      </w:r>
      <w:r>
        <w:t xml:space="preserve"> </w:t>
      </w:r>
      <w:r>
        <w:rPr>
          <w:bCs/>
          <w:b/>
        </w:rPr>
        <w:t xml:space="preserve">4.83 kgCO2e (14%)</w:t>
      </w:r>
      <w:r>
        <w:t xml:space="preserve">. Within this category, the Lithium-Ion Battery (1.60 kgCO2e), Aluminum Casing (1.25 kgCO2e), and PCBA (1.00 kgCO2e) are the primary material hotspots.</w:t>
      </w:r>
    </w:p>
    <w:p>
      <w:pPr>
        <w:numPr>
          <w:ilvl w:val="0"/>
          <w:numId w:val="1014"/>
        </w:numPr>
        <w:pStyle w:val="Compact"/>
      </w:pPr>
      <w:r>
        <w:rPr>
          <w:bCs/>
          <w:b/>
        </w:rPr>
        <w:t xml:space="preserve">Production Phase (Scope 2):</w:t>
      </w:r>
      <w:r>
        <w:t xml:space="preserve"> </w:t>
      </w:r>
      <w:r>
        <w:t xml:space="preserve">Emissions from the manufacturing process itself, primarily purchased electricity, contribute a smaller but notable amount at</w:t>
      </w:r>
      <w:r>
        <w:t xml:space="preserve"> </w:t>
      </w:r>
      <w:r>
        <w:rPr>
          <w:bCs/>
          <w:b/>
        </w:rPr>
        <w:t xml:space="preserve">0.74 kgCO2e (2%)</w:t>
      </w:r>
      <w:r>
        <w:t xml:space="preserve">. The 40% renewable energy usage helps mitigate this impact.</w:t>
      </w:r>
    </w:p>
    <w:p>
      <w:pPr>
        <w:numPr>
          <w:ilvl w:val="0"/>
          <w:numId w:val="1014"/>
        </w:numPr>
        <w:pStyle w:val="Compact"/>
      </w:pPr>
      <w:r>
        <w:rPr>
          <w:bCs/>
          <w:b/>
        </w:rPr>
        <w:t xml:space="preserve">End-of-Life (Scope 3, Category 12):</w:t>
      </w:r>
      <w:r>
        <w:t xml:space="preserve"> </w:t>
      </w:r>
      <w:r>
        <w:t xml:space="preserve">Due to the high recyclability percentage and established circular programs, this phase provides a net credit of</w:t>
      </w:r>
      <w:r>
        <w:t xml:space="preserve"> </w:t>
      </w:r>
      <w:r>
        <w:rPr>
          <w:bCs/>
          <w:b/>
        </w:rPr>
        <w:t xml:space="preserve">-1.69 kgCO2e (-5%)</w:t>
      </w:r>
      <w:r>
        <w:t xml:space="preserve">, showcasing the positive impact of circular economy initiatives.</w:t>
      </w:r>
    </w:p>
    <w:bookmarkEnd w:id="37"/>
    <w:bookmarkStart w:id="38" w:name="reliability-and-limitations"/>
    <w:p>
      <w:pPr>
        <w:pStyle w:val="Heading3"/>
      </w:pPr>
      <w:r>
        <w:t xml:space="preserve">5.2 Reliability and Limitations</w:t>
      </w:r>
    </w:p>
    <w:p>
      <w:pPr>
        <w:pStyle w:val="FirstParagraph"/>
      </w:pPr>
      <w:r>
        <w:t xml:space="preserve">The reliability of this PCF analysis is high due to the use of detailed primary data for the Bill of Materials and specific operational parameters. However, certain limitations inherent in any PCF study apply:</w:t>
      </w:r>
    </w:p>
    <w:p>
      <w:pPr>
        <w:numPr>
          <w:ilvl w:val="0"/>
          <w:numId w:val="1015"/>
        </w:numPr>
        <w:pStyle w:val="Compact"/>
      </w:pPr>
      <w:r>
        <w:rPr>
          <w:bCs/>
          <w:b/>
        </w:rPr>
        <w:t xml:space="preserve">Secondary Data Reliance:</w:t>
      </w:r>
      <w:r>
        <w:t xml:space="preserve"> </w:t>
      </w:r>
      <w:r>
        <w:t xml:space="preserve">While primary data was prioritized, some emission factors for generic processes (e.g., average transport modes, grid mixes) are based on secondary industry-average data. While robust, these may not perfectly reflect the exact specific conditions of every supplier or logistical leg.</w:t>
      </w:r>
    </w:p>
    <w:p>
      <w:pPr>
        <w:numPr>
          <w:ilvl w:val="0"/>
          <w:numId w:val="1015"/>
        </w:numPr>
        <w:pStyle w:val="Compact"/>
      </w:pPr>
      <w:r>
        <w:rPr>
          <w:bCs/>
          <w:b/>
        </w:rPr>
        <w:t xml:space="preserve">Assumption for Placeholders:</w:t>
      </w:r>
      <w:r>
        <w:t xml:space="preserve"> </w:t>
      </w:r>
      <w:r>
        <w:t xml:space="preserve">Specific numerical values for \'Transport Distance\', \'Renewable Energy Usage\', \'Energy Intensity\', \'Product Lifespan\', \'Energy Consumption in Use\', \'Recyclability Percentage\', and \'Circular Programs\' were assumed for calculation based on the user\'s provided literal placeholders. A real-world assessment would require specific, verified data for these parameters.</w:t>
      </w:r>
    </w:p>
    <w:p>
      <w:pPr>
        <w:numPr>
          <w:ilvl w:val="0"/>
          <w:numId w:val="1015"/>
        </w:numPr>
        <w:pStyle w:val="Compact"/>
      </w:pPr>
      <w:r>
        <w:rPr>
          <w:bCs/>
          <w:b/>
        </w:rPr>
        <w:t xml:space="preserve">EoL Scenario Simplification:</w:t>
      </w:r>
      <w:r>
        <w:t xml:space="preserve"> </w:t>
      </w:r>
      <w:r>
        <w:t xml:space="preserve">The End-of-Life credit for recycling is a simplified estimation of avoided virgin material production. A full LCA would model specific recycling processes and their associated emissions, as well as energy recovery from incineration or emissions from landfilling.</w:t>
      </w:r>
    </w:p>
    <w:p>
      <w:pPr>
        <w:numPr>
          <w:ilvl w:val="0"/>
          <w:numId w:val="1015"/>
        </w:numPr>
        <w:pStyle w:val="Compact"/>
      </w:pPr>
      <w:r>
        <w:rPr>
          <w:bCs/>
          <w:b/>
        </w:rPr>
        <w:t xml:space="preserve">LSR Standard Application:</w:t>
      </w:r>
      <w:r>
        <w:t xml:space="preserve"> </w:t>
      </w:r>
      <w:r>
        <w:t xml:space="preserve">While acknowledged, a detailed quantification of land sector emissions or removals was not feasible without specific land-use data related to the product\'s value chain. The LSR Standard\'s full guidance (expected Q2 2026) will further refine implementation.</w:t>
      </w:r>
    </w:p>
    <w:p>
      <w:r>
        <w:pict>
          <v:rect style="width:0;height:1.5pt" o:hralign="center" o:hrstd="t" o:hr="t"/>
        </w:pict>
      </w:r>
    </w:p>
    <w:bookmarkEnd w:id="38"/>
    <w:bookmarkEnd w:id="39"/>
    <w:bookmarkStart w:id="41" w:name="conclusion-and-recommendations"/>
    <w:p>
      <w:pPr>
        <w:pStyle w:val="Heading2"/>
      </w:pPr>
      <w:r>
        <w:t xml:space="preserve">Conclusion and Recommendations</w:t>
      </w:r>
    </w:p>
    <w:p>
      <w:pPr>
        <w:pStyle w:val="FirstParagraph"/>
      </w:pPr>
      <w:r>
        <w:t xml:space="preserve">The Product Carbon Footprint for one unit of</w:t>
      </w:r>
      <w:r>
        <w:t xml:space="preserve"> </w:t>
      </w:r>
      <w:r>
        <w:rPr>
          <w:bCs/>
          <w:b/>
        </w:rPr>
        <w:t xml:space="preserve">gkdusgdovp</w:t>
      </w:r>
      <w:r>
        <w:t xml:space="preserve"> </w:t>
      </w:r>
      <w:r>
        <w:t xml:space="preserve">is approximately</w:t>
      </w:r>
      <w:r>
        <w:t xml:space="preserve"> </w:t>
      </w:r>
      <w:r>
        <w:rPr>
          <w:bCs/>
          <w:b/>
        </w:rPr>
        <w:t xml:space="preserve">35.08 kg CO2e</w:t>
      </w:r>
      <w:r>
        <w:t xml:space="preserve">. The Use Phase, driven by energy consumption over the product\'s lifespan, is the dominant contributor to this footprint. Material acquisition and pre-processing also represent a significant hotspot. The established recyclability and circular programs provide a valuable negative contribution to the overall footprint.</w:t>
      </w:r>
    </w:p>
    <w:bookmarkStart w:id="40" w:name="X788fbff7c021e2a678ac07c45b3966641b0fc80"/>
    <w:p>
      <w:pPr>
        <w:pStyle w:val="Heading3"/>
      </w:pPr>
      <w:r>
        <w:t xml:space="preserve">Recommendations for Carbon Footprint Reduction:</w:t>
      </w:r>
    </w:p>
    <w:p>
      <w:pPr>
        <w:numPr>
          <w:ilvl w:val="0"/>
          <w:numId w:val="1016"/>
        </w:numPr>
        <w:pStyle w:val="Compact"/>
      </w:pPr>
      <w:r>
        <w:rPr>
          <w:bCs/>
          <w:b/>
        </w:rPr>
        <w:t xml:space="preserve">Optimize Use Phase Efficiency:</w:t>
      </w:r>
      <w:r>
        <w:t xml:space="preserve"> </w:t>
      </w:r>
      <w:r>
        <w:t xml:space="preserve">Prioritize design improvements for energy efficiency of</w:t>
      </w:r>
      <w:r>
        <w:t xml:space="preserve"> </w:t>
      </w:r>
      <w:r>
        <w:rPr>
          <w:bCs/>
          <w:b/>
        </w:rPr>
        <w:t xml:space="preserve">gkdusgdovp</w:t>
      </w:r>
      <w:r>
        <w:t xml:space="preserve"> </w:t>
      </w:r>
      <w:r>
        <w:t xml:space="preserve">to significantly reduce its largest emission source. Explore opportunities to promote renewable energy adoption by end-users.</w:t>
      </w:r>
    </w:p>
    <w:p>
      <w:pPr>
        <w:numPr>
          <w:ilvl w:val="0"/>
          <w:numId w:val="1016"/>
        </w:numPr>
        <w:pStyle w:val="Compact"/>
      </w:pPr>
      <w:r>
        <w:rPr>
          <w:bCs/>
          <w:b/>
        </w:rPr>
        <w:t xml:space="preserve">Enhance Sustainable Sourcing:</w:t>
      </w:r>
      <w:r>
        <w:t xml:space="preserve"> </w:t>
      </w:r>
      <w:r>
        <w:t xml:space="preserve">Focus on increasing the recycled content for materials like aluminum and plastics, and collaborate with suppliers to minimize the carbon intensity of their manufacturing processes. Engage with battery suppliers to explore lower-carbon options.</w:t>
      </w:r>
    </w:p>
    <w:p>
      <w:pPr>
        <w:numPr>
          <w:ilvl w:val="0"/>
          <w:numId w:val="1016"/>
        </w:numPr>
        <w:pStyle w:val="Compact"/>
      </w:pPr>
      <w:r>
        <w:rPr>
          <w:bCs/>
          <w:b/>
        </w:rPr>
        <w:t xml:space="preserve">Strengthen Circular Economy Initiatives:</w:t>
      </w:r>
      <w:r>
        <w:t xml:space="preserve"> </w:t>
      </w:r>
      <w:r>
        <w:t xml:space="preserve">Leverage existing product take-back programs (ekwvweywrj) to boost material closed-loop recycling, consider refurbishment, and extend product lifespan to further reduce reliance on virgin materials.</w:t>
      </w:r>
    </w:p>
    <w:p>
      <w:pPr>
        <w:numPr>
          <w:ilvl w:val="0"/>
          <w:numId w:val="1016"/>
        </w:numPr>
        <w:pStyle w:val="Compact"/>
      </w:pPr>
      <w:r>
        <w:rPr>
          <w:bCs/>
          <w:b/>
        </w:rPr>
        <w:t xml:space="preserve">Proactive Supplier Engagement:</w:t>
      </w:r>
      <w:r>
        <w:t xml:space="preserve"> </w:t>
      </w:r>
      <w:r>
        <w:t xml:space="preserve">Work closely with supply chain partners to gather more primary emissions data for Scope 3, Category 1 and Category 4/9, and encourage them to adopt energy-efficient practices and transition to renewable energy sources.</w:t>
      </w:r>
    </w:p>
    <w:p>
      <w:pPr>
        <w:pStyle w:val="FirstParagraph"/>
      </w:pPr>
      <w:r>
        <w:t xml:space="preserve">Confidential - Internal Use Only</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gkdusgdovp</dc:title>
  <dc:creator/>
  <dc:description>High-detail Product Carbon Footprint (PCF) analysis for gkdusgdovp by ikkmysvtgu, Senior Sustainability Consultant for uhswsnvitq, adhering to GHG Protocol and 2026 LSR updates.</dc:description>
  <dc:language>en</dc:language>
  <cp:keywords/>
  <dcterms:created xsi:type="dcterms:W3CDTF">2026-07-15T02:57:06Z</dcterms:created>
  <dcterms:modified xsi:type="dcterms:W3CDTF">2026-07-15T02:57:06Z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