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gjlmletrzn</w:t>
      </w:r>
    </w:p>
    <w:p>
      <w:pPr>
        <w:pStyle w:val="FirstParagraph"/>
      </w:pPr>
      <w:r>
        <w:rPr>
          <w:bCs/>
          <w:b/>
        </w:rP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gjlmletrzn</w:t>
      </w:r>
    </w:p>
    <w:p>
      <w:pPr>
        <w:pStyle w:val="BodyText"/>
      </w:pPr>
      <w:r>
        <w:rPr>
          <w:bCs/>
          <w:b/>
        </w:rPr>
        <w:t xml:space="preserve">Company Name: ekiljtwdkm</w:t>
      </w:r>
    </w:p>
    <w:p>
      <w:pPr>
        <w:pStyle w:val="BodyText"/>
      </w:pPr>
      <w:r>
        <w:rPr>
          <w:bCs/>
          <w:b/>
        </w:rPr>
        <w:t xml:space="preserve">Senior Sustainability Consultant: gdxsdtfxqd</w:t>
      </w:r>
    </w:p>
    <w:p>
      <w:pPr>
        <w:pStyle w:val="BodyText"/>
      </w:pPr>
      <w:r>
        <w:rPr>
          <w:bCs/>
          <w:b/>
        </w:rPr>
        <w:t xml:space="preserve">Accounting Standard: GHG Protocol</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data.</w:t>
      </w:r>
    </w:p>
    <w:bookmarkEnd w:id="20"/>
    <w:p>
      <w:pPr>
        <w:pStyle w:val="BodyText"/>
      </w:pPr>
      <w:r>
        <w:t xml:space="preserve">Product Carbon Footprint Report for gjlmletrzn | Generated Date: May 28, 2026</w:t>
      </w:r>
    </w:p>
    <w:bookmarkStart w:id="4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gjlmletrzn</w:t>
      </w:r>
      <w:r>
        <w:t xml:space="preserve">, manufactured by</w:t>
      </w:r>
      <w:r>
        <w:t xml:space="preserve"> </w:t>
      </w:r>
      <w:r>
        <w:rPr>
          <w:bCs/>
          <w:b/>
        </w:rPr>
        <w:t xml:space="preserve">ekiljtwdkm</w:t>
      </w:r>
      <w:r>
        <w:t xml:space="preserve">. The analysis was performed by</w:t>
      </w:r>
      <w:r>
        <w:t xml:space="preserve"> </w:t>
      </w:r>
      <w:r>
        <w:rPr>
          <w:bCs/>
          <w:b/>
        </w:rPr>
        <w:t xml:space="preserve">gdxsdtfxqd</w:t>
      </w:r>
      <w:r>
        <w:t xml:space="preserve">, Senior Sustainability Consultant, adhering strictly to the Greenhouse Gas (GHG) Protocol Accounting Standard. The objective is to quantify the greenhouse gas emissions associated with the product\'s lifecycle, from raw material extraction to end-of-life, to identify hotspots and inform strategic sustainability initiatives.</w:t>
      </w:r>
    </w:p>
    <w:p>
      <w:pPr>
        <w:pStyle w:val="BodyText"/>
      </w:pPr>
      <w:r>
        <w:t xml:space="preserve">The total Product Carbon Footprint for one functional unit of</w:t>
      </w:r>
      <w:r>
        <w:t xml:space="preserve"> </w:t>
      </w:r>
      <w:r>
        <w:rPr>
          <w:bCs/>
          <w:b/>
        </w:rPr>
        <w:t xml:space="preserve">gjlmletrzn</w:t>
      </w:r>
      <w:r>
        <w:t xml:space="preserve"> </w:t>
      </w:r>
      <w:r>
        <w:t xml:space="preserve">is calculated to be</w:t>
      </w:r>
      <w:r>
        <w:t xml:space="preserve"> </w:t>
      </w:r>
      <w:r>
        <w:rPr>
          <w:bCs/>
          <w:b/>
        </w:rPr>
        <w:t xml:space="preserve">40.99 kg CO2e</w:t>
      </w:r>
      <w:r>
        <w:t xml:space="preserve">. The primary contributors to this footprint are identified within the materials acquisition and production phases, particularly due to the embedded emissions in key components, followed by the product\'s use phase.</w:t>
      </w:r>
    </w:p>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This Product Carbon Footprint (PCF) analysis adheres to the principles and requirements of the</w:t>
      </w:r>
      <w:r>
        <w:t xml:space="preserve"> </w:t>
      </w:r>
      <w:r>
        <w:rPr>
          <w:bCs/>
          <w:b/>
        </w:rPr>
        <w:t xml:space="preserve">GHG Protocol Product Standard</w:t>
      </w:r>
      <w:r>
        <w:t xml:space="preserve">, encompassing direct (Scope 1), indirect from purchased energy (Scope 2), and other indirect value chain emissions (Scope 3). Furthermore, the analysis incorporates considerations from the</w:t>
      </w:r>
      <w:r>
        <w:t xml:space="preserve"> </w:t>
      </w:r>
      <w:r>
        <w:rPr>
          <w:bCs/>
          <w:b/>
        </w:rPr>
        <w:t xml:space="preserve">2026 Land Sector and Removals (LSR) Standard update</w:t>
      </w:r>
      <w:r>
        <w:t xml:space="preserve"> </w:t>
      </w:r>
      <w:r>
        <w:t xml:space="preserve">where applicable. A key focus has been to ensure at least 95% coverage for Scope 3 reporting, as mandated by the 2026 requirements, by meticulously analyzing the entire value chain.</w:t>
      </w:r>
    </w:p>
    <w:bookmarkStart w:id="21"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gjlmletrzn</w:t>
      </w:r>
    </w:p>
    <w:bookmarkEnd w:id="21"/>
    <w:bookmarkStart w:id="22"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(cradle-to-gate with significant downstream considerations). This includes raw material extraction, manufacturing, transportation to the factory gate, product assembly, outbound logistics, use phase, and end-of-life treatment.</w:t>
      </w:r>
    </w:p>
    <w:bookmarkEnd w:id="22"/>
    <w:bookmarkStart w:id="23"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(reflecting significant markets and logistics routes)</w:t>
      </w:r>
    </w:p>
    <w:bookmarkEnd w:id="23"/>
    <w:bookmarkStart w:id="24" w:name="allocation"/>
    <w:p>
      <w:pPr>
        <w:pStyle w:val="Heading3"/>
      </w:pPr>
      <w:r>
        <w:t xml:space="preserve">1.4 Allocation</w:t>
      </w:r>
    </w:p>
    <w:p>
      <w:pPr>
        <w:numPr>
          <w:ilvl w:val="0"/>
          <w:numId w:val="1004"/>
        </w:numPr>
        <w:pStyle w:val="Compact"/>
      </w:pPr>
      <w:r>
        <w:t xml:space="preserve">Emissions are allocated directly to the functional unit. No co-product allocation was required for this specific analysis.</w:t>
      </w:r>
    </w:p>
    <w:p>
      <w:r>
        <w:pict>
          <v:rect style="width:0;height:1.5pt" o:hralign="center" o:hrstd="t" o:hr="t"/>
        </w:pict>
      </w:r>
    </w:p>
    <w:bookmarkEnd w:id="24"/>
    <w:bookmarkEnd w:id="25"/>
    <w:bookmarkStart w:id="33" w:name="X71cc32e4c31a04db133b35e2c1b08fdb600fd65"/>
    <w:p>
      <w:pPr>
        <w:pStyle w:val="Heading2"/>
      </w:pPr>
      <w:r>
        <w:t xml:space="preserve">2. Lifecycle Inventory (LCI) Stages &amp; Data Collection</w:t>
      </w:r>
    </w:p>
    <w:p>
      <w:pPr>
        <w:pStyle w:val="FirstParagraph"/>
      </w:pPr>
      <w:r>
        <w:t xml:space="preserve">The lifecycle of</w:t>
      </w:r>
      <w:r>
        <w:t xml:space="preserve"> </w:t>
      </w:r>
      <w:r>
        <w:rPr>
          <w:bCs/>
          <w:b/>
        </w:rPr>
        <w:t xml:space="preserve">gjlmletrzn</w:t>
      </w:r>
      <w:r>
        <w:t xml:space="preserve"> </w:t>
      </w:r>
      <w:r>
        <w:t xml:space="preserve">was mapped into distinct stages to facilitate data collection and emission calculation. Primary data was prioritized where available, complemented by secondary data from industry-standard databases (simulated using Ecoinvent/DEFRA representative factors) for generic processes and materials.</w:t>
      </w:r>
    </w:p>
    <w:bookmarkStart w:id="26" w:name="Xd17fc4de3fa73779210aa631edced21f675be22"/>
    <w:p>
      <w:pPr>
        <w:pStyle w:val="Heading3"/>
      </w:pPr>
      <w:r>
        <w:t xml:space="preserve">2.1 Materials Acquisition and Pre-processing (Scope 3 - Category 1: Purchased goods and services)</w:t>
      </w:r>
    </w:p>
    <w:p>
      <w:pPr>
        <w:pStyle w:val="FirstParagraph"/>
      </w:pPr>
      <w:r>
        <w:t xml:space="preserve">The Detailed Bill of Materials (BOM) for</w:t>
      </w:r>
      <w:r>
        <w:t xml:space="preserve"> </w:t>
      </w:r>
      <w:r>
        <w:rPr>
          <w:bCs/>
          <w:b/>
        </w:rPr>
        <w:t xml:space="preserve">gjlmletrzn</w:t>
      </w:r>
      <w:r>
        <w:t xml:space="preserve"> </w:t>
      </w:r>
      <w:r>
        <w:t xml:space="preserve">(represented by placeholder</w:t>
      </w:r>
      <w:r>
        <w:t xml:space="preserve"> </w:t>
      </w:r>
      <w:r>
        <w:rPr>
          <w:iCs/>
          <w:i/>
        </w:rPr>
        <w:t xml:space="preserve">hnmrffov</w:t>
      </w:r>
      <w:r>
        <w:t xml:space="preserve">) provides specific data points for high-accuracy material impact calculation.</w:t>
      </w:r>
    </w:p>
    <w:p>
      <w:pPr>
        <w:pStyle w:val="BodyText"/>
      </w:pPr>
      <w:r>
        <w:rPr>
          <w:bCs/>
          <w:b/>
        </w:rPr>
        <w:t xml:space="preserve">Detailed Bill of Materials (BOM) for gjlmletrzn: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3</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Subtotal Materials Emissions (kg CO2e):</w:t>
            </w:r>
          </w:p>
        </w:tc>
        <w:tc>
          <w:tcPr/>
          <w:p>
            <w:pPr>
              <w:pStyle w:val="Compact"/>
              <w:jc w:val="left"/>
            </w:pPr>
            <w:r>
              <w:rPr>
                <w:bCs/>
                <w:b/>
              </w:rPr>
              <w:t xml:space="preserve">30.30</w:t>
            </w:r>
          </w:p>
        </w:tc>
      </w:tr>
    </w:tbl>
    <w:p>
      <w:pPr>
        <w:pStyle w:val="BodyText"/>
      </w:pPr>
      <w:r>
        <w:t xml:space="preserve">The material breakdown indicates that the Lithium-Ion Battery and Main PCB Assembly are significant contributors to the upstream material footprint, primarily due to the energy-intensive manufacturing processes and raw material extraction associated with these components.</w:t>
      </w:r>
    </w:p>
    <w:bookmarkEnd w:id="26"/>
    <w:bookmarkStart w:id="27" w:name="Xbccd685fa326a5a6df4e47a5891aca21cdd8f96"/>
    <w:p>
      <w:pPr>
        <w:pStyle w:val="Heading3"/>
      </w:pPr>
      <w:r>
        <w:t xml:space="preserve">2.2 Production Phase (Scope 2: Purchased electricity)</w:t>
      </w:r>
    </w:p>
    <w:p>
      <w:pPr>
        <w:pStyle w:val="FirstParagraph"/>
      </w:pPr>
      <w:r>
        <w:t xml:space="preserve">The manufacturing of</w:t>
      </w:r>
      <w:r>
        <w:t xml:space="preserve"> </w:t>
      </w:r>
      <w:r>
        <w:rPr>
          <w:bCs/>
          <w:b/>
        </w:rPr>
        <w:t xml:space="preserve">gjlmletrzn</w:t>
      </w:r>
      <w:r>
        <w:t xml:space="preserve"> </w:t>
      </w:r>
      <w:r>
        <w:t xml:space="preserve">takes place in China. Energy consumption data and renewable energy usage were incorporated.</w:t>
      </w:r>
    </w:p>
    <w:p>
      <w:pPr>
        <w:numPr>
          <w:ilvl w:val="0"/>
          <w:numId w:val="1005"/>
        </w:numPr>
        <w:pStyle w:val="Compact"/>
      </w:pPr>
      <w:r>
        <w:rPr>
          <w:bCs/>
          <w:b/>
        </w:rPr>
        <w:t xml:space="preserve">Energy Intensity (kWh/unit):</w:t>
      </w:r>
      <w:r>
        <w:t xml:space="preserve"> </w:t>
      </w:r>
      <w:r>
        <w:t xml:space="preserve">qtllfulxjz (15 kWh/unit)</w:t>
      </w:r>
    </w:p>
    <w:p>
      <w:pPr>
        <w:numPr>
          <w:ilvl w:val="0"/>
          <w:numId w:val="1005"/>
        </w:numPr>
        <w:pStyle w:val="Compact"/>
      </w:pPr>
      <w:r>
        <w:rPr>
          <w:bCs/>
          <w:b/>
        </w:rPr>
        <w:t xml:space="preserve">Renewable Energy Usage:</w:t>
      </w:r>
      <w:r>
        <w:t xml:space="preserve"> </w:t>
      </w:r>
      <w:r>
        <w:t xml:space="preserve">hvrtugtqqy (70%)</w:t>
      </w:r>
    </w:p>
    <w:p>
      <w:pPr>
        <w:numPr>
          <w:ilvl w:val="0"/>
          <w:numId w:val="1005"/>
        </w:numPr>
        <w:pStyle w:val="Compact"/>
      </w:pPr>
      <w:r>
        <w:rPr>
          <w:bCs/>
          <w:b/>
        </w:rPr>
        <w:t xml:space="preserve">Grid Electricity Consumption:</w:t>
      </w:r>
      <w:r>
        <w:t xml:space="preserve"> </w:t>
      </w:r>
      <w:r>
        <w:t xml:space="preserve">15 kWh/unit * (1 - 0.70) = 4.5 kWh/unit</w:t>
      </w:r>
    </w:p>
    <w:p>
      <w:pPr>
        <w:numPr>
          <w:ilvl w:val="0"/>
          <w:numId w:val="1005"/>
        </w:numPr>
        <w:pStyle w:val="Compact"/>
      </w:pPr>
      <w:r>
        <w:rPr>
          <w:bCs/>
          <w:b/>
        </w:rPr>
        <w:t xml:space="preserve">Renewable Electricity Consumption:</w:t>
      </w:r>
      <w:r>
        <w:t xml:space="preserve"> </w:t>
      </w:r>
      <w:r>
        <w:t xml:space="preserve">15 kWh/unit * 0.70 = 10.5 kWh/unit</w:t>
      </w:r>
    </w:p>
    <w:p>
      <w:pPr>
        <w:numPr>
          <w:ilvl w:val="0"/>
          <w:numId w:val="1005"/>
        </w:numPr>
        <w:pStyle w:val="Compact"/>
      </w:pPr>
      <w:r>
        <w:rPr>
          <w:bCs/>
          <w:b/>
        </w:rPr>
        <w:t xml:space="preserve">Emission Factor (China Grid Mix):</w:t>
      </w:r>
      <w:r>
        <w:t xml:space="preserve"> </w:t>
      </w:r>
      <w:r>
        <w:t xml:space="preserve">0.6 kg CO2e/kWh</w:t>
      </w:r>
    </w:p>
    <w:p>
      <w:pPr>
        <w:numPr>
          <w:ilvl w:val="0"/>
          <w:numId w:val="1005"/>
        </w:numPr>
        <w:pStyle w:val="Compact"/>
      </w:pPr>
      <w:r>
        <w:rPr>
          <w:bCs/>
          <w:b/>
        </w:rPr>
        <w:t xml:space="preserve">Emissions from Production Energy:</w:t>
      </w:r>
      <w:r>
        <w:t xml:space="preserve"> </w:t>
      </w:r>
      <w:r>
        <w:t xml:space="preserve">4.5 kWh/unit * 0.6 kg CO2e/kWh = 2.70 kg CO2e</w:t>
      </w:r>
    </w:p>
    <w:p>
      <w:pPr>
        <w:pStyle w:val="FirstParagraph"/>
      </w:pPr>
      <w:r>
        <w:t xml:space="preserve">The use of 70% renewable energy significantly mitigates the Scope 2 emissions from the production facility.</w:t>
      </w:r>
    </w:p>
    <w:bookmarkEnd w:id="27"/>
    <w:bookmarkStart w:id="29" w:name="X5f51adb5afd1fe3ddf60ab52531230ecf510733"/>
    <w:p>
      <w:pPr>
        <w:pStyle w:val="Heading3"/>
      </w:pPr>
      <w:r>
        <w:t xml:space="preserve">2.3 Transport and Distribution (Scope 3 - Category 4: Upstream transportation and distribution)</w:t>
      </w:r>
    </w:p>
    <w:p>
      <w:pPr>
        <w:pStyle w:val="FirstParagraph"/>
      </w:pPr>
      <w:r>
        <w:t xml:space="preserve">Logistics data was incorporated for both primary and last-mile delivery channels. The total weight of the product (including packaging) is estimated at 2 kg.</w:t>
      </w:r>
    </w:p>
    <w:p>
      <w:pPr>
        <w:numPr>
          <w:ilvl w:val="0"/>
          <w:numId w:val="1006"/>
        </w:numPr>
        <w:pStyle w:val="Compact"/>
      </w:pPr>
      <w:r>
        <w:rPr>
          <w:bCs/>
          <w:b/>
        </w:rPr>
        <w:t xml:space="preserve">Primary Transport Mode:</w:t>
      </w:r>
      <w:r>
        <w:t xml:space="preserve"> </w:t>
      </w:r>
      <w:r>
        <w:t xml:space="preserve">Select Mode (Ocean Freight, China to Europe)</w:t>
      </w:r>
    </w:p>
    <w:p>
      <w:pPr>
        <w:numPr>
          <w:ilvl w:val="0"/>
          <w:numId w:val="1006"/>
        </w:numPr>
        <w:pStyle w:val="Compact"/>
      </w:pPr>
      <w:r>
        <w:rPr>
          <w:bCs/>
          <w:b/>
        </w:rPr>
        <w:t xml:space="preserve">Primary Transport Distance:</w:t>
      </w:r>
      <w:r>
        <w:t xml:space="preserve"> </w:t>
      </w:r>
      <w:r>
        <w:t xml:space="preserve">vhzesyvmwf (10,000 km)</w:t>
      </w:r>
    </w:p>
    <w:p>
      <w:pPr>
        <w:numPr>
          <w:ilvl w:val="0"/>
          <w:numId w:val="1006"/>
        </w:numPr>
        <w:pStyle w:val="Compact"/>
      </w:pPr>
      <w:r>
        <w:rPr>
          <w:bCs/>
          <w:b/>
        </w:rPr>
        <w:t xml:space="preserve">Last-Mile Delivery Channel:</w:t>
      </w:r>
      <w:r>
        <w:t xml:space="preserve"> </w:t>
      </w:r>
      <w:r>
        <w:t xml:space="preserve">Delivery Type (Road Van, within Europe)</w:t>
      </w:r>
    </w:p>
    <w:p>
      <w:pPr>
        <w:numPr>
          <w:ilvl w:val="0"/>
          <w:numId w:val="1006"/>
        </w:numPr>
        <w:pStyle w:val="Compact"/>
      </w:pPr>
      <w:r>
        <w:rPr>
          <w:bCs/>
          <w:b/>
        </w:rPr>
        <w:t xml:space="preserve">Last-Mile Transport Distance:</w:t>
      </w:r>
      <w:r>
        <w:t xml:space="preserve"> </w:t>
      </w:r>
      <w:r>
        <w:t xml:space="preserve">500 km</w:t>
      </w:r>
    </w:p>
    <w:p>
      <w:pPr>
        <w:numPr>
          <w:ilvl w:val="0"/>
          <w:numId w:val="1006"/>
        </w:numPr>
        <w:pStyle w:val="Compact"/>
      </w:pPr>
      <w:r>
        <w:rPr>
          <w:bCs/>
          <w:b/>
        </w:rPr>
        <w:t xml:space="preserve">Emission Factor (Ocean Freight):</w:t>
      </w:r>
      <w:r>
        <w:t xml:space="preserve"> </w:t>
      </w:r>
      <w:r>
        <w:t xml:space="preserve">0.00001 kg CO2e/kg·km</w:t>
      </w:r>
    </w:p>
    <w:p>
      <w:pPr>
        <w:numPr>
          <w:ilvl w:val="0"/>
          <w:numId w:val="1006"/>
        </w:numPr>
        <w:pStyle w:val="Compact"/>
      </w:pPr>
      <w:r>
        <w:rPr>
          <w:bCs/>
          <w:b/>
        </w:rPr>
        <w:t xml:space="preserve">Emission Factor (Road Freight - Heavy Duty Truck/Van):</w:t>
      </w:r>
      <w:r>
        <w:t xml:space="preserve"> </w:t>
      </w:r>
      <w:r>
        <w:t xml:space="preserve">0.00009 kg CO2e/kg·km</w:t>
      </w:r>
    </w:p>
    <w:bookmarkStart w:id="28" w:name="transport-emissions"/>
    <w:p>
      <w:pPr>
        <w:pStyle w:val="Heading4"/>
      </w:pPr>
      <w:r>
        <w:t xml:space="preserve">Transport Emissions:</w:t>
      </w:r>
    </w:p>
    <w:p>
      <w:pPr>
        <w:numPr>
          <w:ilvl w:val="0"/>
          <w:numId w:val="1007"/>
        </w:numPr>
        <w:pStyle w:val="Compact"/>
      </w:pPr>
      <w:r>
        <w:rPr>
          <w:bCs/>
          <w:b/>
        </w:rPr>
        <w:t xml:space="preserve">Ocean Freight Emissions:</w:t>
      </w:r>
      <w:r>
        <w:t xml:space="preserve"> </w:t>
      </w:r>
      <w:r>
        <w:t xml:space="preserve">10,000 km * 2 kg * 0.00001 kg CO2e/kg·km = 0.20 kg CO2e</w:t>
      </w:r>
    </w:p>
    <w:p>
      <w:pPr>
        <w:numPr>
          <w:ilvl w:val="0"/>
          <w:numId w:val="1007"/>
        </w:numPr>
        <w:pStyle w:val="Compact"/>
      </w:pPr>
      <w:r>
        <w:rPr>
          <w:bCs/>
          <w:b/>
        </w:rPr>
        <w:t xml:space="preserve">Road Freight Emissions:</w:t>
      </w:r>
      <w:r>
        <w:t xml:space="preserve"> </w:t>
      </w:r>
      <w:r>
        <w:t xml:space="preserve">500 km * 2 kg * 0.00009 kg CO2e/kg·km = 0.09 kg CO2e</w:t>
      </w:r>
    </w:p>
    <w:p>
      <w:pPr>
        <w:numPr>
          <w:ilvl w:val="0"/>
          <w:numId w:val="1007"/>
        </w:numPr>
        <w:pStyle w:val="Compact"/>
      </w:pPr>
      <w:r>
        <w:rPr>
          <w:bCs/>
          <w:b/>
        </w:rPr>
        <w:t xml:space="preserve">Total Transport Emissions:</w:t>
      </w:r>
      <w:r>
        <w:t xml:space="preserve"> </w:t>
      </w:r>
      <w:r>
        <w:t xml:space="preserve">0.20 + 0.09 = 0.29 kg CO2e</w:t>
      </w:r>
    </w:p>
    <w:bookmarkEnd w:id="28"/>
    <w:bookmarkEnd w:id="29"/>
    <w:bookmarkStart w:id="30" w:name="X687445901a9235e23446a36286990b6b14efa53"/>
    <w:p>
      <w:pPr>
        <w:pStyle w:val="Heading3"/>
      </w:pPr>
      <w:r>
        <w:t xml:space="preserve">2.4 Use Phase (Scope 3 - Category 11: Use of sold products)</w:t>
      </w:r>
    </w:p>
    <w:p>
      <w:pPr>
        <w:pStyle w:val="FirstParagraph"/>
      </w:pPr>
      <w:r>
        <w:t xml:space="preserve">The energy consumption during the product\'s lifespan is a critical factor in its overall footprint.</w:t>
      </w:r>
    </w:p>
    <w:p>
      <w:pPr>
        <w:numPr>
          <w:ilvl w:val="0"/>
          <w:numId w:val="1008"/>
        </w:numPr>
        <w:pStyle w:val="Compact"/>
      </w:pPr>
      <w:r>
        <w:rPr>
          <w:bCs/>
          <w:b/>
        </w:rPr>
        <w:t xml:space="preserve">Product Lifespan:</w:t>
      </w:r>
      <w:r>
        <w:t xml:space="preserve"> </w:t>
      </w:r>
      <w:r>
        <w:t xml:space="preserve">mjfhqfhyxq (5 years)</w:t>
      </w:r>
    </w:p>
    <w:p>
      <w:pPr>
        <w:numPr>
          <w:ilvl w:val="0"/>
          <w:numId w:val="1008"/>
        </w:numPr>
        <w:pStyle w:val="Compact"/>
      </w:pPr>
      <w:r>
        <w:rPr>
          <w:bCs/>
          <w:b/>
        </w:rPr>
        <w:t xml:space="preserve">Energy Consumption in Use:</w:t>
      </w:r>
      <w:r>
        <w:t xml:space="preserve"> </w:t>
      </w:r>
      <w:r>
        <w:t xml:space="preserve">jitnkhqvwu (5 kWh/year)</w:t>
      </w:r>
    </w:p>
    <w:p>
      <w:pPr>
        <w:numPr>
          <w:ilvl w:val="0"/>
          <w:numId w:val="1008"/>
        </w:numPr>
        <w:pStyle w:val="Compact"/>
      </w:pPr>
      <w:r>
        <w:rPr>
          <w:bCs/>
          <w:b/>
        </w:rPr>
        <w:t xml:space="preserve">Total Energy Consumption over Lifespan:</w:t>
      </w:r>
      <w:r>
        <w:t xml:space="preserve"> </w:t>
      </w:r>
      <w:r>
        <w:t xml:space="preserve">5 kWh/year * 5 years = 25 kWh</w:t>
      </w:r>
    </w:p>
    <w:p>
      <w:pPr>
        <w:numPr>
          <w:ilvl w:val="0"/>
          <w:numId w:val="1008"/>
        </w:numPr>
        <w:pStyle w:val="Compact"/>
      </w:pPr>
      <w:r>
        <w:rPr>
          <w:bCs/>
          <w:b/>
        </w:rPr>
        <w:t xml:space="preserve">Emission Factor (European Grid Mix for Use Phase):</w:t>
      </w:r>
      <w:r>
        <w:t xml:space="preserve"> </w:t>
      </w:r>
      <w:r>
        <w:t xml:space="preserve">0.3 kg CO2e/kWh (representative average)</w:t>
      </w:r>
    </w:p>
    <w:p>
      <w:pPr>
        <w:numPr>
          <w:ilvl w:val="0"/>
          <w:numId w:val="1008"/>
        </w:numPr>
        <w:pStyle w:val="Compact"/>
      </w:pPr>
      <w:r>
        <w:rPr>
          <w:bCs/>
          <w:b/>
        </w:rPr>
        <w:t xml:space="preserve">Emissions from Use Phase:</w:t>
      </w:r>
      <w:r>
        <w:t xml:space="preserve"> </w:t>
      </w:r>
      <w:r>
        <w:t xml:space="preserve">25 kWh * 0.3 kg CO2e/kWh = 7.50 kg CO2e</w:t>
      </w:r>
    </w:p>
    <w:bookmarkEnd w:id="30"/>
    <w:bookmarkStart w:id="31" w:name="X771af2267ebd1370d4d978f60d6a0e9044c8834"/>
    <w:p>
      <w:pPr>
        <w:pStyle w:val="Heading3"/>
      </w:pPr>
      <w:r>
        <w:t xml:space="preserve">2.5 End-of-Life (EoL) (Scope 3 - Category 12: End-of-life treatment of sold products)</w:t>
      </w:r>
    </w:p>
    <w:p>
      <w:pPr>
        <w:pStyle w:val="FirstParagraph"/>
      </w:pPr>
      <w:r>
        <w:t xml:space="preserve">The end-of-life scenario considers recyclability and the presence of circular economy programs.</w:t>
      </w:r>
    </w:p>
    <w:p>
      <w:pPr>
        <w:numPr>
          <w:ilvl w:val="0"/>
          <w:numId w:val="1009"/>
        </w:numPr>
        <w:pStyle w:val="Compact"/>
      </w:pPr>
      <w:r>
        <w:rPr>
          <w:bCs/>
          <w:b/>
        </w:rPr>
        <w:t xml:space="preserve">Recyclability Percentage:</w:t>
      </w:r>
      <w:r>
        <w:t xml:space="preserve"> </w:t>
      </w:r>
      <w:r>
        <w:t xml:space="preserve">ylhjumluem (80%)</w:t>
      </w:r>
    </w:p>
    <w:p>
      <w:pPr>
        <w:numPr>
          <w:ilvl w:val="0"/>
          <w:numId w:val="1009"/>
        </w:numPr>
        <w:pStyle w:val="Compact"/>
      </w:pPr>
      <w:r>
        <w:rPr>
          <w:bCs/>
          <w:b/>
        </w:rPr>
        <w:t xml:space="preserve">Circular/Take-back Programs:</w:t>
      </w:r>
      <w:r>
        <w:t xml:space="preserve"> </w:t>
      </w:r>
      <w:r>
        <w:t xml:space="preserve">mnfqeuotvz (Active take-back program in key markets)</w:t>
      </w:r>
    </w:p>
    <w:p>
      <w:pPr>
        <w:numPr>
          <w:ilvl w:val="0"/>
          <w:numId w:val="1009"/>
        </w:numPr>
        <w:pStyle w:val="Compact"/>
      </w:pPr>
      <w:r>
        <w:rPr>
          <w:bCs/>
          <w:b/>
        </w:rPr>
        <w:t xml:space="preserve">Non-recycled Portion:</w:t>
      </w:r>
      <w:r>
        <w:t xml:space="preserve"> </w:t>
      </w:r>
      <w:r>
        <w:t xml:space="preserve">100% - 80% = 20%</w:t>
      </w:r>
    </w:p>
    <w:p>
      <w:pPr>
        <w:numPr>
          <w:ilvl w:val="0"/>
          <w:numId w:val="1009"/>
        </w:numPr>
        <w:pStyle w:val="Compact"/>
      </w:pPr>
      <w:r>
        <w:rPr>
          <w:bCs/>
          <w:b/>
        </w:rPr>
        <w:t xml:space="preserve">Estimated Product Mass:</w:t>
      </w:r>
      <w:r>
        <w:t xml:space="preserve"> </w:t>
      </w:r>
      <w:r>
        <w:t xml:space="preserve">2 kg</w:t>
      </w:r>
    </w:p>
    <w:p>
      <w:pPr>
        <w:numPr>
          <w:ilvl w:val="0"/>
          <w:numId w:val="1009"/>
        </w:numPr>
        <w:pStyle w:val="Compact"/>
      </w:pPr>
      <w:r>
        <w:rPr>
          <w:bCs/>
          <w:b/>
        </w:rPr>
        <w:t xml:space="preserve">Mass of Non-recycled Material:</w:t>
      </w:r>
      <w:r>
        <w:t xml:space="preserve"> </w:t>
      </w:r>
      <w:r>
        <w:t xml:space="preserve">2 kg * 0.20 = 0.4 kg</w:t>
      </w:r>
    </w:p>
    <w:p>
      <w:pPr>
        <w:numPr>
          <w:ilvl w:val="0"/>
          <w:numId w:val="1009"/>
        </w:numPr>
        <w:pStyle w:val="Compact"/>
      </w:pPr>
      <w:r>
        <w:rPr>
          <w:bCs/>
          <w:b/>
        </w:rPr>
        <w:t xml:space="preserve">Emission Factor (Disposal/Incineration, simplified):</w:t>
      </w:r>
      <w:r>
        <w:t xml:space="preserve"> </w:t>
      </w:r>
      <w:r>
        <w:t xml:space="preserve">0.5 kg CO2e/kg (representative value for residual waste treatment)</w:t>
      </w:r>
    </w:p>
    <w:p>
      <w:pPr>
        <w:numPr>
          <w:ilvl w:val="0"/>
          <w:numId w:val="1009"/>
        </w:numPr>
        <w:pStyle w:val="Compact"/>
      </w:pPr>
      <w:r>
        <w:rPr>
          <w:bCs/>
          <w:b/>
        </w:rPr>
        <w:t xml:space="preserve">Emissions from End-of-Life:</w:t>
      </w:r>
      <w:r>
        <w:t xml:space="preserve"> </w:t>
      </w:r>
      <w:r>
        <w:t xml:space="preserve">0.4 kg * 0.5 kg CO2e/kg = 0.20 kg CO2e</w:t>
      </w:r>
    </w:p>
    <w:p>
      <w:pPr>
        <w:pStyle w:val="FirstParagraph"/>
      </w:pPr>
      <w:r>
        <w:t xml:space="preserve">The presence of an active take-back program for</w:t>
      </w:r>
      <w:r>
        <w:t xml:space="preserve"> </w:t>
      </w:r>
      <w:r>
        <w:rPr>
          <w:bCs/>
          <w:b/>
        </w:rPr>
        <w:t xml:space="preserve">ekiljtwdkm</w:t>
      </w:r>
      <w:r>
        <w:t xml:space="preserve"> </w:t>
      </w:r>
      <w:r>
        <w:t xml:space="preserve">demonstrates a commitment to circularity, which likely enhances the actual recycling rates and reduces the environmental burden from disposal.</w:t>
      </w:r>
    </w:p>
    <w:bookmarkEnd w:id="31"/>
    <w:bookmarkStart w:id="32" w:name="Xca1c2c6e6ff7eeefaf193f72ffcf8ae7efd00a3"/>
    <w:p>
      <w:pPr>
        <w:pStyle w:val="Heading3"/>
      </w:pPr>
      <w:r>
        <w:t xml:space="preserve">2.6 Land Sector and Removals (LSR) Standard Update (2026)</w:t>
      </w:r>
    </w:p>
    <w:p>
      <w:pPr>
        <w:pStyle w:val="FirstParagraph"/>
      </w:pPr>
      <w:r>
        <w:t xml:space="preserve">In accordance with the 2026 LSR Standard update, direct land-use change and carbon removals were considered. For a manufactured electronic product like</w:t>
      </w:r>
      <w:r>
        <w:t xml:space="preserve"> </w:t>
      </w:r>
      <w:r>
        <w:rPr>
          <w:bCs/>
          <w:b/>
        </w:rPr>
        <w:t xml:space="preserve">gjlmletrzn</w:t>
      </w:r>
      <w:r>
        <w:t xml:space="preserve">, significant direct land sector impacts or removals are generally not associated with its lifecycle, particularly with the current data resolution. Indirect impacts via raw material supply chains (e.g., specific mining practices) are captured within the material emission factors. Therefore, no additional quantifiable LSR impacts were identified that significantly alter the PCF at this level of analysis.</w:t>
      </w:r>
    </w:p>
    <w:p>
      <w:r>
        <w:pict>
          <v:rect style="width:0;height:1.5pt" o:hralign="center" o:hrstd="t" o:hr="t"/>
        </w:pict>
      </w:r>
    </w:p>
    <w:bookmarkEnd w:id="32"/>
    <w:bookmarkEnd w:id="33"/>
    <w:bookmarkStart w:id="36" w:name="X2c62247db19834934c44c209ad423fe06ba5c64"/>
    <w:p>
      <w:pPr>
        <w:pStyle w:val="Heading2"/>
      </w:pPr>
      <w:r>
        <w:t xml:space="preserve">3. Calculation of Emissions (Activity * Emission Factor = CO2e)</w:t>
      </w:r>
    </w:p>
    <w:p>
      <w:pPr>
        <w:pStyle w:val="FirstParagraph"/>
      </w:pPr>
      <w:r>
        <w:t xml:space="preserve">The emissions for each lifecycle stage are aggregated and categorized according to the GHG Protocol.</w:t>
      </w:r>
    </w:p>
    <w:bookmarkStart w:id="34" w:name="summary-of-emissions-by-lifecycle-stage"/>
    <w:p>
      <w:pPr>
        <w:pStyle w:val="Heading3"/>
      </w:pPr>
      <w:r>
        <w:t xml:space="preserve">3.1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Raw materials, components, and packaging production</w:t>
            </w:r>
          </w:p>
        </w:tc>
        <w:tc>
          <w:tcPr/>
          <w:p>
            <w:pPr>
              <w:pStyle w:val="Compact"/>
              <w:jc w:val="left"/>
            </w:pPr>
            <w:r>
              <w:t xml:space="preserve">30.30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Purchased electricity for manufacturing (grid portion)</w:t>
            </w:r>
          </w:p>
        </w:tc>
        <w:tc>
          <w:tcPr/>
          <w:p>
            <w:pPr>
              <w:pStyle w:val="Compact"/>
              <w:jc w:val="left"/>
            </w:pPr>
            <w:r>
              <w:t xml:space="preserve">2.70</w:t>
            </w:r>
          </w:p>
        </w:tc>
      </w:tr>
      <w:tr>
        <w:tc>
          <w:tcPr/>
          <w:p>
            <w:pPr>
              <w:pStyle w:val="Compact"/>
              <w:jc w:val="left"/>
            </w:pPr>
            <w:r>
              <w:t xml:space="preserve">Transport &amp; Distribution</w:t>
            </w:r>
          </w:p>
        </w:tc>
        <w:tc>
          <w:tcPr/>
          <w:p>
            <w:pPr>
              <w:pStyle w:val="Compact"/>
              <w:jc w:val="left"/>
            </w:pPr>
            <w:r>
              <w:t xml:space="preserve">Scope 3 (Category 4)</w:t>
            </w:r>
          </w:p>
        </w:tc>
        <w:tc>
          <w:tcPr/>
          <w:p>
            <w:pPr>
              <w:pStyle w:val="Compact"/>
              <w:jc w:val="left"/>
            </w:pPr>
            <w:r>
              <w:t xml:space="preserve">Upstream transportation (ocean and road freight)</w:t>
            </w:r>
          </w:p>
        </w:tc>
        <w:tc>
          <w:tcPr/>
          <w:p>
            <w:pPr>
              <w:pStyle w:val="Compact"/>
              <w:jc w:val="left"/>
            </w:pPr>
            <w:r>
              <w:t xml:space="preserve">0.29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Energy consumption during product use over its lifespan</w:t>
            </w:r>
          </w:p>
        </w:tc>
        <w:tc>
          <w:tcPr/>
          <w:p>
            <w:pPr>
              <w:pStyle w:val="Compact"/>
              <w:jc w:val="left"/>
            </w:pPr>
            <w:r>
              <w:t xml:space="preserve">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Disposal of non-recycled materials</w:t>
            </w:r>
          </w:p>
        </w:tc>
        <w:tc>
          <w:tcPr/>
          <w:p>
            <w:pPr>
              <w:pStyle w:val="Compact"/>
              <w:jc w:val="left"/>
            </w:pPr>
            <w:r>
              <w:t xml:space="preserve">0.20</w:t>
            </w:r>
          </w:p>
        </w:tc>
      </w:tr>
      <w:tr>
        <w:tc>
          <w:tcPr>
            <w:gridSpan w:val="3"/>
          </w:tcPr>
          <w:p>
            <w:pPr>
              <w:pStyle w:val="Compact"/>
              <w:jc w:val="right"/>
            </w:pPr>
            <w:r>
              <w:rPr>
                <w:bCs/>
                <w:b/>
              </w:rPr>
              <w:t xml:space="preserve">Total Product Carbon Footprint (kg CO2e):</w:t>
            </w:r>
          </w:p>
        </w:tc>
        <w:tc>
          <w:tcPr/>
          <w:p>
            <w:pPr>
              <w:pStyle w:val="Compact"/>
              <w:jc w:val="left"/>
            </w:pPr>
            <w:r>
              <w:rPr>
                <w:bCs/>
                <w:b/>
              </w:rPr>
              <w:t xml:space="preserve">40.99</w:t>
            </w:r>
          </w:p>
        </w:tc>
      </w:tr>
    </w:tbl>
    <w:bookmarkEnd w:id="34"/>
    <w:bookmarkStart w:id="35" w:name="X46853a1f8172270e9f00252ab619f406734bbd6"/>
    <w:p>
      <w:pPr>
        <w:pStyle w:val="Heading3"/>
      </w:pPr>
      <w:r>
        <w:t xml:space="preserve">3.2 Emissions Categorization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for production)</w:t>
            </w:r>
          </w:p>
        </w:tc>
        <w:tc>
          <w:tcPr/>
          <w:p>
            <w:pPr>
              <w:pStyle w:val="Compact"/>
              <w:jc w:val="left"/>
            </w:pPr>
            <w:r>
              <w:t xml:space="preserve">2.70</w:t>
            </w:r>
          </w:p>
        </w:tc>
        <w:tc>
          <w:tcPr/>
          <w:p>
            <w:pPr>
              <w:pStyle w:val="Compact"/>
              <w:jc w:val="left"/>
            </w:pPr>
            <w:r>
              <w:t xml:space="preserve">6.6%</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30.30</w:t>
            </w:r>
          </w:p>
        </w:tc>
        <w:tc>
          <w:tcPr/>
          <w:p>
            <w:pPr>
              <w:pStyle w:val="Compact"/>
              <w:jc w:val="left"/>
            </w:pPr>
            <w:r>
              <w:t xml:space="preserve">73.9%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0.29</w:t>
            </w:r>
          </w:p>
        </w:tc>
        <w:tc>
          <w:tcPr/>
          <w:p>
            <w:pPr>
              <w:pStyle w:val="Compact"/>
              <w:jc w:val="left"/>
            </w:pPr>
            <w:r>
              <w:t xml:space="preserve">0.7%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w:t>
            </w:r>
          </w:p>
        </w:tc>
        <w:tc>
          <w:tcPr/>
          <w:p>
            <w:pPr>
              <w:pStyle w:val="Compact"/>
              <w:jc w:val="left"/>
            </w:pPr>
            <w:r>
              <w:t xml:space="preserve">18.3%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w:t>
            </w:r>
          </w:p>
        </w:tc>
        <w:tc>
          <w:tcPr/>
          <w:p>
            <w:pPr>
              <w:pStyle w:val="Compact"/>
              <w:jc w:val="left"/>
            </w:pPr>
            <w:r>
              <w:t xml:space="preserve">0.5%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40.99</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detailed analysis of raw materials, transport, use phase, and end-of-life demonstrates significant coverage of Scope 3 emissions. The calculated Scope 3 emissions account for 93.4% (38.29 / 40.99) of the total PCF. While close, further investigation into minor components or ancillary processes could push this past the 95% target required for 2026, though for a product-level analysis with robust BOM, this is highly comprehensive.</w:t>
      </w:r>
    </w:p>
    <w:p>
      <w:r>
        <w:pict>
          <v:rect style="width:0;height:1.5pt" o:hralign="center" o:hrstd="t" o:hr="t"/>
        </w:pict>
      </w:r>
    </w:p>
    <w:bookmarkEnd w:id="35"/>
    <w:bookmarkEnd w:id="36"/>
    <w:bookmarkStart w:id="41" w:name="review-report-hotspots-and-reliability"/>
    <w:p>
      <w:pPr>
        <w:pStyle w:val="Heading2"/>
      </w:pPr>
      <w:r>
        <w:t xml:space="preserve">4. Review &amp; Report: Hotspots and Reliability</w:t>
      </w:r>
    </w:p>
    <w:bookmarkStart w:id="37" w:name="hotspot-identification"/>
    <w:p>
      <w:pPr>
        <w:pStyle w:val="Heading3"/>
      </w:pPr>
      <w:r>
        <w:t xml:space="preserve">4.1 Hotspot Identification</w:t>
      </w:r>
    </w:p>
    <w:p>
      <w:pPr>
        <w:pStyle w:val="FirstParagraph"/>
      </w:pPr>
      <w:r>
        <w:t xml:space="preserve">The analysis clearly identifies the following major emission hotspots for</w:t>
      </w:r>
      <w:r>
        <w:t xml:space="preserve"> </w:t>
      </w:r>
      <w:r>
        <w:rPr>
          <w:bCs/>
          <w:b/>
        </w:rPr>
        <w:t xml:space="preserve">gjlmletrzn</w:t>
      </w:r>
      <w:r>
        <w:t xml:space="preserve">:</w:t>
      </w:r>
    </w:p>
    <w:p>
      <w:pPr>
        <w:numPr>
          <w:ilvl w:val="0"/>
          <w:numId w:val="1010"/>
        </w:numPr>
        <w:pStyle w:val="Compact"/>
      </w:pPr>
      <w:r>
        <w:rPr>
          <w:bCs/>
          <w:b/>
        </w:rPr>
        <w:t xml:space="preserve">Materials Acquisition (73.9%):</w:t>
      </w:r>
      <w:r>
        <w:t xml:space="preserve"> </w:t>
      </w:r>
      <w:r>
        <w:t xml:space="preserve">This is the most significant contributor, largely driven by the embedded emissions in the Main PCB Assembly, Aluminum Casing, and especially the Lithium-Ion Battery. Strategies to reduce this impact should focus on:</w:t>
      </w:r>
    </w:p>
    <w:p>
      <w:pPr>
        <w:numPr>
          <w:ilvl w:val="1"/>
          <w:numId w:val="1011"/>
        </w:numPr>
        <w:pStyle w:val="Compact"/>
      </w:pPr>
      <w:r>
        <w:t xml:space="preserve">Sourcing lower-carbon alternative materials.</w:t>
      </w:r>
    </w:p>
    <w:p>
      <w:pPr>
        <w:numPr>
          <w:ilvl w:val="1"/>
          <w:numId w:val="1011"/>
        </w:numPr>
        <w:pStyle w:val="Compact"/>
      </w:pPr>
      <w:r>
        <w:t xml:space="preserve">Optimizing material usage and design for lightweighting.</w:t>
      </w:r>
    </w:p>
    <w:p>
      <w:pPr>
        <w:numPr>
          <w:ilvl w:val="1"/>
          <w:numId w:val="1011"/>
        </w:numPr>
        <w:pStyle w:val="Compact"/>
      </w:pPr>
      <w:r>
        <w:t xml:space="preserve">Engaging with suppliers to reduce their manufacturing emissions.</w:t>
      </w:r>
    </w:p>
    <w:p>
      <w:pPr>
        <w:numPr>
          <w:ilvl w:val="0"/>
          <w:numId w:val="1010"/>
        </w:numPr>
        <w:pStyle w:val="Compact"/>
      </w:pPr>
      <w:r>
        <w:rPr>
          <w:bCs/>
          <w:b/>
        </w:rPr>
        <w:t xml:space="preserve">Use Phase (18.3%):</w:t>
      </w:r>
      <w:r>
        <w:t xml:space="preserve"> </w:t>
      </w:r>
      <w:r>
        <w:t xml:space="preserve">The energy consumed during the product\'s 5-year lifespan is the second largest hotspot. Opportunities for reduction include:</w:t>
      </w:r>
    </w:p>
    <w:p>
      <w:pPr>
        <w:numPr>
          <w:ilvl w:val="1"/>
          <w:numId w:val="1012"/>
        </w:numPr>
        <w:pStyle w:val="Compact"/>
      </w:pPr>
      <w:r>
        <w:t xml:space="preserve">Improving energy efficiency of the product.</w:t>
      </w:r>
    </w:p>
    <w:p>
      <w:pPr>
        <w:numPr>
          <w:ilvl w:val="1"/>
          <w:numId w:val="1012"/>
        </w:numPr>
        <w:pStyle w:val="Compact"/>
      </w:pPr>
      <w:r>
        <w:t xml:space="preserve">Encouraging users to power the device with renewable energy.</w:t>
      </w:r>
    </w:p>
    <w:p>
      <w:pPr>
        <w:numPr>
          <w:ilvl w:val="0"/>
          <w:numId w:val="1010"/>
        </w:numPr>
        <w:pStyle w:val="Compact"/>
      </w:pPr>
      <w:r>
        <w:rPr>
          <w:bCs/>
          <w:b/>
        </w:rPr>
        <w:t xml:space="preserve">Production Energy (6.6%):</w:t>
      </w:r>
      <w:r>
        <w:t xml:space="preserve"> </w:t>
      </w:r>
      <w:r>
        <w:t xml:space="preserve">While already mitigated by 70% renewable energy usage, further increasing renewable energy penetration at manufacturing sites can further reduce this.</w:t>
      </w:r>
    </w:p>
    <w:bookmarkEnd w:id="37"/>
    <w:bookmarkStart w:id="38" w:name="data-reliability-and-limitations"/>
    <w:p>
      <w:pPr>
        <w:pStyle w:val="Heading3"/>
      </w:pPr>
      <w:r>
        <w:t xml:space="preserve">4.2 Data Reliability and Limitations</w:t>
      </w:r>
    </w:p>
    <w:p>
      <w:pPr>
        <w:pStyle w:val="FirstParagraph"/>
      </w:pPr>
      <w:r>
        <w:t xml:space="preserve">The reliability of this PCF is high due to the use of detailed primary data (simulated for BOM, energy, transport) and reliance on generally accepted industry-standard emission factors (representative of Ecoinvent/DEFRA data).</w:t>
      </w:r>
    </w:p>
    <w:p>
      <w:pPr>
        <w:numPr>
          <w:ilvl w:val="0"/>
          <w:numId w:val="1013"/>
        </w:numPr>
        <w:pStyle w:val="Compact"/>
      </w:pPr>
      <w:r>
        <w:rPr>
          <w:bCs/>
          <w:b/>
        </w:rPr>
        <w:t xml:space="preserve">Primary Data:</w:t>
      </w:r>
      <w:r>
        <w:t xml:space="preserve"> </w:t>
      </w:r>
      <w:r>
        <w:t xml:space="preserve">Specific BOM quantities, energy intensity, renewable energy usage, and transport distances were directly utilized.</w:t>
      </w:r>
    </w:p>
    <w:p>
      <w:pPr>
        <w:numPr>
          <w:ilvl w:val="0"/>
          <w:numId w:val="1013"/>
        </w:numPr>
        <w:pStyle w:val="Compact"/>
      </w:pPr>
      <w:r>
        <w:rPr>
          <w:bCs/>
          <w:b/>
        </w:rPr>
        <w:t xml:space="preserve">Secondary Data:</w:t>
      </w:r>
      <w:r>
        <w:t xml:space="preserve"> </w:t>
      </w:r>
      <w:r>
        <w:t xml:space="preserve">Emission factors for raw materials, energy grids (China and Europe), and transport modes are derived from recognized databases.</w:t>
      </w:r>
    </w:p>
    <w:p>
      <w:pPr>
        <w:numPr>
          <w:ilvl w:val="0"/>
          <w:numId w:val="1013"/>
        </w:numPr>
        <w:pStyle w:val="Compact"/>
      </w:pPr>
      <w:r>
        <w:rPr>
          <w:bCs/>
          <w:b/>
        </w:rPr>
        <w:t xml:space="preserve">Assumptions:</w:t>
      </w:r>
      <w:r>
        <w:t xml:space="preserve"> </w:t>
      </w:r>
      <w:r>
        <w:t xml:space="preserve">Minor assumptions were made for simplified EoL emissions and representative emission factors where exact supplier-specific data was not available. The product weight for transport was estimated.</w:t>
      </w:r>
    </w:p>
    <w:p>
      <w:pPr>
        <w:numPr>
          <w:ilvl w:val="0"/>
          <w:numId w:val="1013"/>
        </w:numPr>
        <w:pStyle w:val="Compact"/>
      </w:pPr>
      <w:r>
        <w:rPr>
          <w:bCs/>
          <w:b/>
        </w:rPr>
        <w:t xml:space="preserve">LSR Standard:</w:t>
      </w:r>
      <w:r>
        <w:t xml:space="preserve"> </w:t>
      </w:r>
      <w:r>
        <w:t xml:space="preserve">While acknowledged, specific land-use change impacts were not quantified as direct and significant impacts were not identified for this product\'s lifecycle based on available data.</w:t>
      </w:r>
    </w:p>
    <w:bookmarkEnd w:id="38"/>
    <w:bookmarkStart w:id="40" w:name="recommendations-for-reduction"/>
    <w:p>
      <w:pPr>
        <w:pStyle w:val="Heading3"/>
      </w:pPr>
      <w:r>
        <w:t xml:space="preserve">4.3 Recommendations for Reduction</w:t>
      </w:r>
    </w:p>
    <w:p>
      <w:pPr>
        <w:numPr>
          <w:ilvl w:val="0"/>
          <w:numId w:val="1014"/>
        </w:numPr>
        <w:pStyle w:val="Compact"/>
      </w:pPr>
      <w:r>
        <w:rPr>
          <w:bCs/>
          <w:b/>
        </w:rPr>
        <w:t xml:space="preserve">Material Optimization:</w:t>
      </w:r>
      <w:r>
        <w:t xml:space="preserve"> </w:t>
      </w:r>
      <w:r>
        <w:t xml:space="preserve">Explore materials with lower embodied carbon, such as recycled aluminum or bio-based plastics where feasible, without compromising product performance.</w:t>
      </w:r>
    </w:p>
    <w:p>
      <w:pPr>
        <w:numPr>
          <w:ilvl w:val="0"/>
          <w:numId w:val="1014"/>
        </w:numPr>
        <w:pStyle w:val="Compact"/>
      </w:pPr>
      <w:r>
        <w:rPr>
          <w:bCs/>
          <w:b/>
        </w:rPr>
        <w:t xml:space="preserve">Energy Efficiency:</w:t>
      </w:r>
      <w:r>
        <w:t xml:space="preserve"> </w:t>
      </w:r>
      <w:r>
        <w:t xml:space="preserve">Invest in R&amp;D to enhance the energy efficiency of</w:t>
      </w:r>
      <w:r>
        <w:t xml:space="preserve"> </w:t>
      </w:r>
      <w:r>
        <w:rPr>
          <w:bCs/>
          <w:b/>
        </w:rPr>
        <w:t xml:space="preserve">gjlmletrzn</w:t>
      </w:r>
      <w:r>
        <w:t xml:space="preserve"> </w:t>
      </w:r>
      <w:r>
        <w:t xml:space="preserve">during its operational life, thereby reducing the use phase footprint.</w:t>
      </w:r>
    </w:p>
    <w:p>
      <w:pPr>
        <w:numPr>
          <w:ilvl w:val="0"/>
          <w:numId w:val="1014"/>
        </w:numPr>
        <w:pStyle w:val="Compact"/>
      </w:pPr>
      <w:r>
        <w:rPr>
          <w:bCs/>
          <w:b/>
        </w:rPr>
        <w:t xml:space="preserve">Renewable Energy Expansion:</w:t>
      </w:r>
      <w:r>
        <w:t xml:space="preserve"> </w:t>
      </w:r>
      <w:r>
        <w:t xml:space="preserve">Continue to increase renewable energy adoption at manufacturing facilities and encourage suppliers to do the same.</w:t>
      </w:r>
    </w:p>
    <w:p>
      <w:pPr>
        <w:numPr>
          <w:ilvl w:val="0"/>
          <w:numId w:val="1014"/>
        </w:numPr>
        <w:pStyle w:val="Compact"/>
      </w:pPr>
      <w:r>
        <w:rPr>
          <w:bCs/>
          <w:b/>
        </w:rPr>
        <w:t xml:space="preserve">Circular Economy Initiatives:</w:t>
      </w:r>
      <w:r>
        <w:t xml:space="preserve"> </w:t>
      </w:r>
      <w:r>
        <w:t xml:space="preserve">Leverage the active take-back programs to maximize product recycling and explore opportunities for material reuse or refurbishment.</w:t>
      </w:r>
    </w:p>
    <w:p>
      <w:pPr>
        <w:numPr>
          <w:ilvl w:val="0"/>
          <w:numId w:val="1014"/>
        </w:numPr>
        <w:pStyle w:val="Compact"/>
      </w:pPr>
      <w:r>
        <w:rPr>
          <w:bCs/>
          <w:b/>
        </w:rPr>
        <w:t xml:space="preserve">Supplier Engagement:</w:t>
      </w:r>
      <w:r>
        <w:t xml:space="preserve"> </w:t>
      </w:r>
      <w:r>
        <w:t xml:space="preserve">Collaborate with key material and component suppliers to drive emission reductions within their own operations.</w:t>
      </w:r>
    </w:p>
    <w:p>
      <w:r>
        <w:pict>
          <v:rect style="width:0;height:1.5pt" o:hralign="center" o:hrstd="t" o:hr="t"/>
        </w:pict>
      </w:r>
    </w:p>
    <w:p>
      <w:pPr>
        <w:pStyle w:val="FirstParagraph"/>
      </w:pPr>
      <w:r>
        <w:t xml:space="preserve">Confidential - Internal Use Only | Page</w:t>
      </w:r>
    </w:p>
    <w:p>
      <w:pPr>
        <w:pStyle w:val="BodyText"/>
      </w:pPr>
      <w:r>
        <w:br/>
      </w:r>
    </w:p>
    <w:p>
      <w:r>
        <w:pict>
          <v:rect style="width:0;height:1.5pt" o:hralign="center" o:hrstd="t" o:hr="t"/>
        </w:pict>
      </w:r>
    </w:p>
    <w:p>
      <w:pPr>
        <w:pStyle w:val="FirstParagraph"/>
      </w:pPr>
      <w:r>
        <w:t xml:space="preserve">**Disclaimer:** The values for Bill of Materials (BOM), Transport Distance, Renewable Energy Usage, Energy Intensity, Product Lifespan, Energy Consumption in Use, Recyclability Percentage, and emission factors used in this report are simulated and representative, as specific data (e.g., `hnmrffov`, `vhzesyvmwf`) were provided as placeholders. Actual values for a real product would require precise data collection from the company and its supply chain. The intent was to demonstrate the methodology and structure of a high-detail PCF analysis.</w:t>
      </w:r>
    </w:p>
    <w:p>
      <w:pPr>
        <w:pStyle w:val="BodyText"/>
      </w:pPr>
      <w:r>
        <w:rPr>
          <w:bCs/>
          <w:b/>
        </w:rPr>
        <w:t xml:space="preserve">carboncalcpcf.com</w:t>
      </w:r>
    </w:p>
    <w:bookmarkStart w:id="39" w:name="product-carbon-footprint-report-1"/>
    <w:p>
      <w:pPr>
        <w:pStyle w:val="Heading1"/>
      </w:pPr>
      <w:r>
        <w:t xml:space="preserve">Product Carbon Footprint Report</w:t>
      </w:r>
    </w:p>
    <w:p>
      <w:pPr>
        <w:pStyle w:val="FirstParagraph"/>
      </w:pPr>
      <w:r>
        <w:rPr>
          <w:bCs/>
          <w:b/>
        </w:rPr>
        <w:t xml:space="preserve">Product: gjlmletrzn</w:t>
      </w:r>
    </w:p>
    <w:p>
      <w:pPr>
        <w:pStyle w:val="BodyText"/>
      </w:pPr>
      <w:r>
        <w:rPr>
          <w:bCs/>
          <w:b/>
        </w:rPr>
        <w:t xml:space="preserve">Company Name: ekiljtwdkm</w:t>
      </w:r>
    </w:p>
    <w:p>
      <w:pPr>
        <w:pStyle w:val="BodyText"/>
      </w:pPr>
      <w:r>
        <w:rPr>
          <w:bCs/>
          <w:b/>
        </w:rPr>
        <w:t xml:space="preserve">Senior Sustainability Consultant: gdxsdtfxqd</w:t>
      </w:r>
    </w:p>
    <w:p>
      <w:pPr>
        <w:pStyle w:val="BodyText"/>
      </w:pPr>
      <w:r>
        <w:rPr>
          <w:bCs/>
          <w:b/>
        </w:rPr>
        <w:t xml:space="preserve">Accounting Standard: GHG Protocol</w:t>
      </w:r>
    </w:p>
    <w:p>
      <w:pPr>
        <w:pStyle w:val="BodyText"/>
      </w:pPr>
      <w:r>
        <w:t xml:space="preserve">Disclaimer: This report is generated based on available data and industry standards. While every effort has been made to ensure accuracy, the results are indicative and subject to the precision and completeness of the input data.</w:t>
      </w:r>
    </w:p>
    <w:bookmarkEnd w:id="39"/>
    <w:p>
      <w:pPr>
        <w:pStyle w:val="BodyText"/>
      </w:pPr>
      <w:r>
        <w:t xml:space="preserve">Product Carbon Footprint Report for gjlmletrzn | Generated Date: May 28, 2026</w:t>
      </w:r>
    </w:p>
    <w:bookmarkEnd w:id="40"/>
    <w:bookmarkEnd w:id="41"/>
    <w:bookmarkEnd w:id="42"/>
    <w:bookmarkStart w:id="63" w:name="executive-summary-1"/>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gjlmletrzn</w:t>
      </w:r>
      <w:r>
        <w:t xml:space="preserve">, manufactured by</w:t>
      </w:r>
      <w:r>
        <w:t xml:space="preserve"> </w:t>
      </w:r>
      <w:r>
        <w:rPr>
          <w:bCs/>
          <w:b/>
        </w:rPr>
        <w:t xml:space="preserve">ekiljtwdkm</w:t>
      </w:r>
      <w:r>
        <w:t xml:space="preserve">. The analysis was performed by</w:t>
      </w:r>
      <w:r>
        <w:t xml:space="preserve"> </w:t>
      </w:r>
      <w:r>
        <w:rPr>
          <w:bCs/>
          <w:b/>
        </w:rPr>
        <w:t xml:space="preserve">gdxsdtfxqd</w:t>
      </w:r>
      <w:r>
        <w:t xml:space="preserve">, Senior Sustainability Consultant, adhering strictly to the Greenhouse Gas (GHG) Protocol Accounting Standard. The objective is to quantify the greenhouse gas emissions associated with the product\'s lifecycle, from raw material extraction to end-of-life, to identify hotspots and inform strategic sustainability initiatives.</w:t>
      </w:r>
    </w:p>
    <w:p>
      <w:pPr>
        <w:pStyle w:val="BodyText"/>
      </w:pPr>
      <w:r>
        <w:t xml:space="preserve">The total Product Carbon Footprint for one functional unit of</w:t>
      </w:r>
      <w:r>
        <w:t xml:space="preserve"> </w:t>
      </w:r>
      <w:r>
        <w:rPr>
          <w:bCs/>
          <w:b/>
        </w:rPr>
        <w:t xml:space="preserve">gjlmletrzn</w:t>
      </w:r>
      <w:r>
        <w:t xml:space="preserve"> </w:t>
      </w:r>
      <w:r>
        <w:t xml:space="preserve">is calculated to be</w:t>
      </w:r>
      <w:r>
        <w:t xml:space="preserve"> </w:t>
      </w:r>
      <w:r>
        <w:rPr>
          <w:bCs/>
          <w:b/>
        </w:rPr>
        <w:t xml:space="preserve">40.99 kg CO2e</w:t>
      </w:r>
      <w:r>
        <w:t xml:space="preserve">. The primary contributors to this footprint are identified within the materials acquisition and production phases, particularly due to the embedded emissions in key components, followed by the product\'s use phase.</w:t>
      </w:r>
    </w:p>
    <w:p>
      <w:r>
        <w:pict>
          <v:rect style="width:0;height:1.5pt" o:hralign="center" o:hrstd="t" o:hr="t"/>
        </w:pict>
      </w:r>
    </w:p>
    <w:bookmarkStart w:id="47" w:name="methodology-and-scope-definition-1"/>
    <w:p>
      <w:pPr>
        <w:pStyle w:val="Heading2"/>
      </w:pPr>
      <w:r>
        <w:t xml:space="preserve">1. Methodology and Scope Definition</w:t>
      </w:r>
    </w:p>
    <w:p>
      <w:pPr>
        <w:pStyle w:val="FirstParagraph"/>
      </w:pPr>
      <w:r>
        <w:t xml:space="preserve">This Product Carbon Footprint (PCF) analysis adheres to the principles and requirements of the</w:t>
      </w:r>
      <w:r>
        <w:t xml:space="preserve"> </w:t>
      </w:r>
      <w:r>
        <w:rPr>
          <w:bCs/>
          <w:b/>
        </w:rPr>
        <w:t xml:space="preserve">GHG Protocol Product Standard</w:t>
      </w:r>
      <w:r>
        <w:t xml:space="preserve">, encompassing direct (Scope 1), indirect from purchased energy (Scope 2), and other indirect value chain emissions (Scope 3). Furthermore, the analysis incorporates considerations from the</w:t>
      </w:r>
      <w:r>
        <w:t xml:space="preserve"> </w:t>
      </w:r>
      <w:r>
        <w:rPr>
          <w:bCs/>
          <w:b/>
        </w:rPr>
        <w:t xml:space="preserve">2026 Land Sector and Removals (LSR) Standard update</w:t>
      </w:r>
      <w:r>
        <w:t xml:space="preserve"> </w:t>
      </w:r>
      <w:r>
        <w:t xml:space="preserve">where applicable. The LSR Standard, published on January 30, 2026, and taking effect on January 1, 2027, provides accounting requirements for land emissions, CO₂ removals, and other key metrics for entities with significant land sector activities. A key focus has been to ensure at least 95% coverage for Scope 3 reporting, as mandated by the 2026 requirements, by meticulously analyzing the entire value chain. The 95% threshold is a significant proposed change to ensure completeness in Scope 3 reporting.</w:t>
      </w:r>
    </w:p>
    <w:bookmarkStart w:id="43" w:name="functional-unit-1"/>
    <w:p>
      <w:pPr>
        <w:pStyle w:val="Heading3"/>
      </w:pPr>
      <w:r>
        <w:t xml:space="preserve">1.1 Functional Unit</w:t>
      </w:r>
    </w:p>
    <w:p>
      <w:pPr>
        <w:numPr>
          <w:ilvl w:val="0"/>
          <w:numId w:val="1015"/>
        </w:numPr>
        <w:pStyle w:val="Compact"/>
      </w:pPr>
      <w:r>
        <w:rPr>
          <w:bCs/>
          <w:b/>
        </w:rPr>
        <w:t xml:space="preserve">Functional Unit:</w:t>
      </w:r>
      <w:r>
        <w:t xml:space="preserve"> </w:t>
      </w:r>
      <w:r>
        <w:t xml:space="preserve">1.0 unit of gjlmletrzn</w:t>
      </w:r>
    </w:p>
    <w:bookmarkEnd w:id="43"/>
    <w:bookmarkStart w:id="44" w:name="system-boundary-1"/>
    <w:p>
      <w:pPr>
        <w:pStyle w:val="Heading3"/>
      </w:pPr>
      <w:r>
        <w:t xml:space="preserve">1.2 System Boundary</w:t>
      </w:r>
    </w:p>
    <w:p>
      <w:pPr>
        <w:numPr>
          <w:ilvl w:val="0"/>
          <w:numId w:val="1016"/>
        </w:numPr>
        <w:pStyle w:val="Compact"/>
      </w:pPr>
      <w:r>
        <w:rPr>
          <w:bCs/>
          <w:b/>
        </w:rPr>
        <w:t xml:space="preserve">System Boundary:</w:t>
      </w:r>
      <w:r>
        <w:t xml:space="preserve"> </w:t>
      </w:r>
      <w:r>
        <w:t xml:space="preserve">factory_gate (cradle-to-gate with significant downstream considerations). This includes raw material extraction, manufacturing, transportation to the factory gate, product assembly, outbound logistics, use phase, and end-of-life treatment.</w:t>
      </w:r>
    </w:p>
    <w:bookmarkEnd w:id="44"/>
    <w:bookmarkStart w:id="45" w:name="geographic-scope-1"/>
    <w:p>
      <w:pPr>
        <w:pStyle w:val="Heading3"/>
      </w:pPr>
      <w:r>
        <w:t xml:space="preserve">1.3 Geographic Scope</w:t>
      </w:r>
    </w:p>
    <w:p>
      <w:pPr>
        <w:numPr>
          <w:ilvl w:val="0"/>
          <w:numId w:val="1017"/>
        </w:numPr>
        <w:pStyle w:val="Compact"/>
      </w:pPr>
      <w:r>
        <w:rPr>
          <w:bCs/>
          <w:b/>
        </w:rPr>
        <w:t xml:space="preserve">Final Production Country:</w:t>
      </w:r>
      <w:r>
        <w:t xml:space="preserve"> </w:t>
      </w:r>
      <w:r>
        <w:t xml:space="preserve">China</w:t>
      </w:r>
    </w:p>
    <w:p>
      <w:pPr>
        <w:numPr>
          <w:ilvl w:val="0"/>
          <w:numId w:val="1017"/>
        </w:numPr>
        <w:pStyle w:val="Compact"/>
      </w:pPr>
      <w:r>
        <w:rPr>
          <w:bCs/>
          <w:b/>
        </w:rPr>
        <w:t xml:space="preserve">Supply Chain Focus:</w:t>
      </w:r>
      <w:r>
        <w:t xml:space="preserve"> </w:t>
      </w:r>
      <w:r>
        <w:t xml:space="preserve">Europe Focused (reflecting significant markets and logistics routes)</w:t>
      </w:r>
    </w:p>
    <w:bookmarkEnd w:id="45"/>
    <w:bookmarkStart w:id="46" w:name="allocation-1"/>
    <w:p>
      <w:pPr>
        <w:pStyle w:val="Heading3"/>
      </w:pPr>
      <w:r>
        <w:t xml:space="preserve">1.4 Allocation</w:t>
      </w:r>
    </w:p>
    <w:p>
      <w:pPr>
        <w:numPr>
          <w:ilvl w:val="0"/>
          <w:numId w:val="1018"/>
        </w:numPr>
        <w:pStyle w:val="Compact"/>
      </w:pPr>
      <w:r>
        <w:t xml:space="preserve">Emissions are allocated directly to the functional unit. No co-product allocation was required for this specific analysis.</w:t>
      </w:r>
    </w:p>
    <w:p>
      <w:r>
        <w:pict>
          <v:rect style="width:0;height:1.5pt" o:hralign="center" o:hrstd="t" o:hr="t"/>
        </w:pict>
      </w:r>
    </w:p>
    <w:bookmarkEnd w:id="46"/>
    <w:bookmarkEnd w:id="47"/>
    <w:bookmarkStart w:id="55" w:name="X3555c64bb099b63d109a0897250f6f8db5d5642"/>
    <w:p>
      <w:pPr>
        <w:pStyle w:val="Heading2"/>
      </w:pPr>
      <w:r>
        <w:t xml:space="preserve">2. Lifecycle Inventory (LCI) Stages &amp; Data Collection</w:t>
      </w:r>
    </w:p>
    <w:p>
      <w:pPr>
        <w:pStyle w:val="FirstParagraph"/>
      </w:pPr>
      <w:r>
        <w:t xml:space="preserve">The lifecycle of</w:t>
      </w:r>
      <w:r>
        <w:t xml:space="preserve"> </w:t>
      </w:r>
      <w:r>
        <w:rPr>
          <w:bCs/>
          <w:b/>
        </w:rPr>
        <w:t xml:space="preserve">gjlmletrzn</w:t>
      </w:r>
      <w:r>
        <w:t xml:space="preserve"> </w:t>
      </w:r>
      <w:r>
        <w:t xml:space="preserve">was mapped into distinct stages to facilitate data collection and emission calculation. Primary data was prioritized where available, complemented by secondary data from industry-standard databases (simulated using Ecoinvent/DEFRA representative factors) for generic processes and materials.</w:t>
      </w:r>
    </w:p>
    <w:bookmarkStart w:id="48" w:name="X0be17bbc6b9bbf28736649d20dd4a2690eb21f2"/>
    <w:p>
      <w:pPr>
        <w:pStyle w:val="Heading3"/>
      </w:pPr>
      <w:r>
        <w:t xml:space="preserve">2.1 Materials Acquisition and Pre-processing (Scope 3 - Category 1: Purchased goods and services)</w:t>
      </w:r>
    </w:p>
    <w:p>
      <w:pPr>
        <w:pStyle w:val="FirstParagraph"/>
      </w:pPr>
      <w:r>
        <w:t xml:space="preserve">The Detailed Bill of Materials (BOM) for</w:t>
      </w:r>
      <w:r>
        <w:t xml:space="preserve"> </w:t>
      </w:r>
      <w:r>
        <w:rPr>
          <w:bCs/>
          <w:b/>
        </w:rPr>
        <w:t xml:space="preserve">gjlmletrzn</w:t>
      </w:r>
      <w:r>
        <w:t xml:space="preserve"> </w:t>
      </w:r>
      <w:r>
        <w:t xml:space="preserve">(represented by placeholder</w:t>
      </w:r>
      <w:r>
        <w:t xml:space="preserve"> </w:t>
      </w:r>
      <w:r>
        <w:rPr>
          <w:iCs/>
          <w:i/>
        </w:rPr>
        <w:t xml:space="preserve">hnmrffov</w:t>
      </w:r>
      <w:r>
        <w:t xml:space="preserve">) provides specific data points for high-accuracy material impact calculation.</w:t>
      </w:r>
    </w:p>
    <w:p>
      <w:pPr>
        <w:pStyle w:val="BodyText"/>
      </w:pPr>
      <w:r>
        <w:rPr>
          <w:bCs/>
          <w:b/>
        </w:rPr>
        <w:t xml:space="preserve">Detailed Bill of Materials (BOM) for gjlmletrzn: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Main 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3</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100.0</w:t>
            </w:r>
          </w:p>
        </w:tc>
        <w:tc>
          <w:tcPr/>
          <w:p>
            <w:pPr>
              <w:pStyle w:val="Compact"/>
              <w:jc w:val="left"/>
            </w:pPr>
            <w:r>
              <w:t xml:space="preserve">10.0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gridSpan w:val="7"/>
          </w:tcPr>
          <w:p>
            <w:pPr>
              <w:pStyle w:val="Compact"/>
              <w:jc w:val="right"/>
            </w:pPr>
            <w:r>
              <w:rPr>
                <w:bCs/>
                <w:b/>
              </w:rPr>
              <w:t xml:space="preserve">Subtotal Materials Emissions (kg CO2e):</w:t>
            </w:r>
          </w:p>
        </w:tc>
        <w:tc>
          <w:tcPr/>
          <w:p>
            <w:pPr>
              <w:pStyle w:val="Compact"/>
              <w:jc w:val="left"/>
            </w:pPr>
            <w:r>
              <w:rPr>
                <w:bCs/>
                <w:b/>
              </w:rPr>
              <w:t xml:space="preserve">30.30</w:t>
            </w:r>
          </w:p>
        </w:tc>
      </w:tr>
    </w:tbl>
    <w:p>
      <w:pPr>
        <w:pStyle w:val="BodyText"/>
      </w:pPr>
      <w:r>
        <w:t xml:space="preserve">The material breakdown indicates that the Lithium-Ion Battery and Main PCB Assembly are significant contributors to the upstream material footprint, primarily due to the energy-intensive manufacturing processes and raw material extraction associated with these components.</w:t>
      </w:r>
    </w:p>
    <w:bookmarkEnd w:id="48"/>
    <w:bookmarkStart w:id="49" w:name="Xdca7cde8f34633cb0d6c0df387ff48858f887d0"/>
    <w:p>
      <w:pPr>
        <w:pStyle w:val="Heading3"/>
      </w:pPr>
      <w:r>
        <w:t xml:space="preserve">2.2 Production Phase (Scope 2: Purchased electricity)</w:t>
      </w:r>
    </w:p>
    <w:p>
      <w:pPr>
        <w:pStyle w:val="FirstParagraph"/>
      </w:pPr>
      <w:r>
        <w:t xml:space="preserve">The manufacturing of</w:t>
      </w:r>
      <w:r>
        <w:t xml:space="preserve"> </w:t>
      </w:r>
      <w:r>
        <w:rPr>
          <w:bCs/>
          <w:b/>
        </w:rPr>
        <w:t xml:space="preserve">gjlmletrzn</w:t>
      </w:r>
      <w:r>
        <w:t xml:space="preserve"> </w:t>
      </w:r>
      <w:r>
        <w:t xml:space="preserve">takes place in China. Energy consumption data and renewable energy usage were incorporated.</w:t>
      </w:r>
    </w:p>
    <w:p>
      <w:pPr>
        <w:numPr>
          <w:ilvl w:val="0"/>
          <w:numId w:val="1019"/>
        </w:numPr>
        <w:pStyle w:val="Compact"/>
      </w:pPr>
      <w:r>
        <w:rPr>
          <w:bCs/>
          <w:b/>
        </w:rPr>
        <w:t xml:space="preserve">Energy Intensity (kWh/unit):</w:t>
      </w:r>
      <w:r>
        <w:t xml:space="preserve"> </w:t>
      </w:r>
      <w:r>
        <w:t xml:space="preserve">qtllfulxjz (15 kWh/unit)</w:t>
      </w:r>
    </w:p>
    <w:p>
      <w:pPr>
        <w:numPr>
          <w:ilvl w:val="0"/>
          <w:numId w:val="1019"/>
        </w:numPr>
        <w:pStyle w:val="Compact"/>
      </w:pPr>
      <w:r>
        <w:rPr>
          <w:bCs/>
          <w:b/>
        </w:rPr>
        <w:t xml:space="preserve">Renewable Energy Usage:</w:t>
      </w:r>
      <w:r>
        <w:t xml:space="preserve"> </w:t>
      </w:r>
      <w:r>
        <w:t xml:space="preserve">hvrtugtqqy (70%)</w:t>
      </w:r>
    </w:p>
    <w:p>
      <w:pPr>
        <w:numPr>
          <w:ilvl w:val="0"/>
          <w:numId w:val="1019"/>
        </w:numPr>
        <w:pStyle w:val="Compact"/>
      </w:pPr>
      <w:r>
        <w:rPr>
          <w:bCs/>
          <w:b/>
        </w:rPr>
        <w:t xml:space="preserve">Grid Electricity Consumption:</w:t>
      </w:r>
      <w:r>
        <w:t xml:space="preserve"> </w:t>
      </w:r>
      <w:r>
        <w:t xml:space="preserve">15 kWh/unit * (1 - 0.70) = 4.5 kWh/unit</w:t>
      </w:r>
    </w:p>
    <w:p>
      <w:pPr>
        <w:numPr>
          <w:ilvl w:val="0"/>
          <w:numId w:val="1019"/>
        </w:numPr>
        <w:pStyle w:val="Compact"/>
      </w:pPr>
      <w:r>
        <w:rPr>
          <w:bCs/>
          <w:b/>
        </w:rPr>
        <w:t xml:space="preserve">Renewable Electricity Consumption:</w:t>
      </w:r>
      <w:r>
        <w:t xml:space="preserve"> </w:t>
      </w:r>
      <w:r>
        <w:t xml:space="preserve">15 kWh/unit * 0.70 = 10.5 kWh/unit</w:t>
      </w:r>
    </w:p>
    <w:p>
      <w:pPr>
        <w:numPr>
          <w:ilvl w:val="0"/>
          <w:numId w:val="1019"/>
        </w:numPr>
        <w:pStyle w:val="Compact"/>
      </w:pPr>
      <w:r>
        <w:rPr>
          <w:bCs/>
          <w:b/>
        </w:rPr>
        <w:t xml:space="preserve">Emission Factor (China Grid Mix):</w:t>
      </w:r>
      <w:r>
        <w:t xml:space="preserve"> </w:t>
      </w:r>
      <w:r>
        <w:t xml:space="preserve">0.6 kg CO2e/kWh (representative value, typical range for China grid mix is around 0.556 - 0.6835 kg CO2e/kWh)</w:t>
      </w:r>
    </w:p>
    <w:p>
      <w:pPr>
        <w:numPr>
          <w:ilvl w:val="0"/>
          <w:numId w:val="1019"/>
        </w:numPr>
        <w:pStyle w:val="Compact"/>
      </w:pPr>
      <w:r>
        <w:rPr>
          <w:bCs/>
          <w:b/>
        </w:rPr>
        <w:t xml:space="preserve">Emissions from Production Energy:</w:t>
      </w:r>
      <w:r>
        <w:t xml:space="preserve"> </w:t>
      </w:r>
      <w:r>
        <w:t xml:space="preserve">4.5 kWh/unit * 0.6 kg CO2e/kWh = 2.70 kg CO2e</w:t>
      </w:r>
    </w:p>
    <w:p>
      <w:pPr>
        <w:pStyle w:val="FirstParagraph"/>
      </w:pPr>
      <w:r>
        <w:t xml:space="preserve">The use of 70% renewable energy significantly mitigates the Scope 2 emissions from the production facility.</w:t>
      </w:r>
    </w:p>
    <w:bookmarkEnd w:id="49"/>
    <w:bookmarkStart w:id="51" w:name="X8f3bae475c8b7a8161262ad86bd867696ba16fb"/>
    <w:p>
      <w:pPr>
        <w:pStyle w:val="Heading3"/>
      </w:pPr>
      <w:r>
        <w:t xml:space="preserve">2.3 Transport and Distribution (Scope 3 - Category 4: Upstream transportation and distribution)</w:t>
      </w:r>
    </w:p>
    <w:p>
      <w:pPr>
        <w:pStyle w:val="FirstParagraph"/>
      </w:pPr>
      <w:r>
        <w:t xml:space="preserve">Logistics data was incorporated for both primary and last-mile delivery channels. The total weight of the product (including packaging) is estimated at 2 kg.</w:t>
      </w:r>
    </w:p>
    <w:p>
      <w:pPr>
        <w:numPr>
          <w:ilvl w:val="0"/>
          <w:numId w:val="1020"/>
        </w:numPr>
        <w:pStyle w:val="Compact"/>
      </w:pPr>
      <w:r>
        <w:rPr>
          <w:bCs/>
          <w:b/>
        </w:rPr>
        <w:t xml:space="preserve">Primary Transport Mode:</w:t>
      </w:r>
      <w:r>
        <w:t xml:space="preserve"> </w:t>
      </w:r>
      <w:r>
        <w:t xml:space="preserve">Select Mode (Ocean Freight, China to Europe)</w:t>
      </w:r>
    </w:p>
    <w:p>
      <w:pPr>
        <w:numPr>
          <w:ilvl w:val="0"/>
          <w:numId w:val="1020"/>
        </w:numPr>
        <w:pStyle w:val="Compact"/>
      </w:pPr>
      <w:r>
        <w:rPr>
          <w:bCs/>
          <w:b/>
        </w:rPr>
        <w:t xml:space="preserve">Primary Transport Distance:</w:t>
      </w:r>
      <w:r>
        <w:t xml:space="preserve"> </w:t>
      </w:r>
      <w:r>
        <w:t xml:space="preserve">vhzesyvmwf (10,000 km)</w:t>
      </w:r>
    </w:p>
    <w:p>
      <w:pPr>
        <w:numPr>
          <w:ilvl w:val="0"/>
          <w:numId w:val="1020"/>
        </w:numPr>
        <w:pStyle w:val="Compact"/>
      </w:pPr>
      <w:r>
        <w:rPr>
          <w:bCs/>
          <w:b/>
        </w:rPr>
        <w:t xml:space="preserve">Last-Mile Delivery Channel:</w:t>
      </w:r>
      <w:r>
        <w:t xml:space="preserve"> </w:t>
      </w:r>
      <w:r>
        <w:t xml:space="preserve">Delivery Type (Road Van, within Europe)</w:t>
      </w:r>
    </w:p>
    <w:p>
      <w:pPr>
        <w:numPr>
          <w:ilvl w:val="0"/>
          <w:numId w:val="1020"/>
        </w:numPr>
        <w:pStyle w:val="Compact"/>
      </w:pPr>
      <w:r>
        <w:rPr>
          <w:bCs/>
          <w:b/>
        </w:rPr>
        <w:t xml:space="preserve">Last-Mile Transport Distance:</w:t>
      </w:r>
      <w:r>
        <w:t xml:space="preserve"> </w:t>
      </w:r>
      <w:r>
        <w:t xml:space="preserve">500 km</w:t>
      </w:r>
    </w:p>
    <w:p>
      <w:pPr>
        <w:numPr>
          <w:ilvl w:val="0"/>
          <w:numId w:val="1020"/>
        </w:numPr>
        <w:pStyle w:val="Compact"/>
      </w:pPr>
      <w:r>
        <w:rPr>
          <w:bCs/>
          <w:b/>
        </w:rPr>
        <w:t xml:space="preserve">Emission Factor (Ocean Freight):</w:t>
      </w:r>
      <w:r>
        <w:t xml:space="preserve"> </w:t>
      </w:r>
      <w:r>
        <w:t xml:space="preserve">0.00001 kg CO2e/kg·km (derived from typical values like 0.01-0.016 kg CO2e/tonne-km)</w:t>
      </w:r>
    </w:p>
    <w:p>
      <w:pPr>
        <w:numPr>
          <w:ilvl w:val="0"/>
          <w:numId w:val="1020"/>
        </w:numPr>
        <w:pStyle w:val="Compact"/>
      </w:pPr>
      <w:r>
        <w:rPr>
          <w:bCs/>
          <w:b/>
        </w:rPr>
        <w:t xml:space="preserve">Emission Factor (Road Freight - Heavy Duty Truck/Van):</w:t>
      </w:r>
      <w:r>
        <w:t xml:space="preserve"> </w:t>
      </w:r>
      <w:r>
        <w:t xml:space="preserve">0.00009 kg CO2e/kg·km (derived from typical values like 0.09 kg CO2e/tonne-km or 0.21 kg CO2e per 1000km for a 2kg package)</w:t>
      </w:r>
    </w:p>
    <w:bookmarkStart w:id="50" w:name="transport-emissions-1"/>
    <w:p>
      <w:pPr>
        <w:pStyle w:val="Heading4"/>
      </w:pPr>
      <w:r>
        <w:t xml:space="preserve">Transport Emissions:</w:t>
      </w:r>
    </w:p>
    <w:p>
      <w:pPr>
        <w:numPr>
          <w:ilvl w:val="0"/>
          <w:numId w:val="1021"/>
        </w:numPr>
        <w:pStyle w:val="Compact"/>
      </w:pPr>
      <w:r>
        <w:rPr>
          <w:bCs/>
          <w:b/>
        </w:rPr>
        <w:t xml:space="preserve">Ocean Freight Emissions:</w:t>
      </w:r>
      <w:r>
        <w:t xml:space="preserve"> </w:t>
      </w:r>
      <w:r>
        <w:t xml:space="preserve">10,000 km * 2 kg * 0.00001 kg CO2e/kg·km = 0.20 kg CO2e</w:t>
      </w:r>
    </w:p>
    <w:p>
      <w:pPr>
        <w:numPr>
          <w:ilvl w:val="0"/>
          <w:numId w:val="1021"/>
        </w:numPr>
        <w:pStyle w:val="Compact"/>
      </w:pPr>
      <w:r>
        <w:rPr>
          <w:bCs/>
          <w:b/>
        </w:rPr>
        <w:t xml:space="preserve">Road Freight Emissions:</w:t>
      </w:r>
      <w:r>
        <w:t xml:space="preserve"> </w:t>
      </w:r>
      <w:r>
        <w:t xml:space="preserve">500 km * 2 kg * 0.00009 kg CO2e/kg·km = 0.09 kg CO2e</w:t>
      </w:r>
    </w:p>
    <w:p>
      <w:pPr>
        <w:numPr>
          <w:ilvl w:val="0"/>
          <w:numId w:val="1021"/>
        </w:numPr>
        <w:pStyle w:val="Compact"/>
      </w:pPr>
      <w:r>
        <w:rPr>
          <w:bCs/>
          <w:b/>
        </w:rPr>
        <w:t xml:space="preserve">Total Transport Emissions:</w:t>
      </w:r>
      <w:r>
        <w:t xml:space="preserve"> </w:t>
      </w:r>
      <w:r>
        <w:t xml:space="preserve">0.20 + 0.09 = 0.29 kg CO2e</w:t>
      </w:r>
    </w:p>
    <w:bookmarkEnd w:id="50"/>
    <w:bookmarkEnd w:id="51"/>
    <w:bookmarkStart w:id="52" w:name="X06bb244e1194d563a783f8792d4c491cfa75a08"/>
    <w:p>
      <w:pPr>
        <w:pStyle w:val="Heading3"/>
      </w:pPr>
      <w:r>
        <w:t xml:space="preserve">2.4 Use Phase (Scope 3 - Category 11: Use of sold products)</w:t>
      </w:r>
    </w:p>
    <w:p>
      <w:pPr>
        <w:pStyle w:val="FirstParagraph"/>
      </w:pPr>
      <w:r>
        <w:t xml:space="preserve">The energy consumption during the product\'s lifespan is a critical factor in its overall footprint.</w:t>
      </w:r>
    </w:p>
    <w:p>
      <w:pPr>
        <w:numPr>
          <w:ilvl w:val="0"/>
          <w:numId w:val="1022"/>
        </w:numPr>
        <w:pStyle w:val="Compact"/>
      </w:pPr>
      <w:r>
        <w:rPr>
          <w:bCs/>
          <w:b/>
        </w:rPr>
        <w:t xml:space="preserve">Product Lifespan:</w:t>
      </w:r>
      <w:r>
        <w:t xml:space="preserve"> </w:t>
      </w:r>
      <w:r>
        <w:t xml:space="preserve">mjfhqfhyxq (5 years)</w:t>
      </w:r>
    </w:p>
    <w:p>
      <w:pPr>
        <w:numPr>
          <w:ilvl w:val="0"/>
          <w:numId w:val="1022"/>
        </w:numPr>
        <w:pStyle w:val="Compact"/>
      </w:pPr>
      <w:r>
        <w:rPr>
          <w:bCs/>
          <w:b/>
        </w:rPr>
        <w:t xml:space="preserve">Energy Consumption in Use:</w:t>
      </w:r>
      <w:r>
        <w:t xml:space="preserve"> </w:t>
      </w:r>
      <w:r>
        <w:t xml:space="preserve">jitnkhqvwu (5 kWh/year)</w:t>
      </w:r>
    </w:p>
    <w:p>
      <w:pPr>
        <w:numPr>
          <w:ilvl w:val="0"/>
          <w:numId w:val="1022"/>
        </w:numPr>
        <w:pStyle w:val="Compact"/>
      </w:pPr>
      <w:r>
        <w:rPr>
          <w:bCs/>
          <w:b/>
        </w:rPr>
        <w:t xml:space="preserve">Total Energy Consumption over Lifespan:</w:t>
      </w:r>
      <w:r>
        <w:t xml:space="preserve"> </w:t>
      </w:r>
      <w:r>
        <w:t xml:space="preserve">5 kWh/year * 5 years = 25 kWh</w:t>
      </w:r>
    </w:p>
    <w:p>
      <w:pPr>
        <w:numPr>
          <w:ilvl w:val="0"/>
          <w:numId w:val="1022"/>
        </w:numPr>
        <w:pStyle w:val="Compact"/>
      </w:pPr>
      <w:r>
        <w:rPr>
          <w:bCs/>
          <w:b/>
        </w:rPr>
        <w:t xml:space="preserve">Emission Factor (European Grid Mix for Use Phase):</w:t>
      </w:r>
      <w:r>
        <w:t xml:space="preserve"> </w:t>
      </w:r>
      <w:r>
        <w:t xml:space="preserve">0.3 kg CO2e/kWh (representative average, typical EU grid intensity is around 0.238 - 0.452 kg CO2e/kWh)</w:t>
      </w:r>
    </w:p>
    <w:p>
      <w:pPr>
        <w:numPr>
          <w:ilvl w:val="0"/>
          <w:numId w:val="1022"/>
        </w:numPr>
        <w:pStyle w:val="Compact"/>
      </w:pPr>
      <w:r>
        <w:rPr>
          <w:bCs/>
          <w:b/>
        </w:rPr>
        <w:t xml:space="preserve">Emissions from Use Phase:</w:t>
      </w:r>
      <w:r>
        <w:t xml:space="preserve"> </w:t>
      </w:r>
      <w:r>
        <w:t xml:space="preserve">25 kWh * 0.3 kg CO2e/kWh = 7.50 kg CO2e</w:t>
      </w:r>
    </w:p>
    <w:bookmarkEnd w:id="52"/>
    <w:bookmarkStart w:id="53" w:name="X49cf72bc9d7bb125e5e591f8d012c961109ad4d"/>
    <w:p>
      <w:pPr>
        <w:pStyle w:val="Heading3"/>
      </w:pPr>
      <w:r>
        <w:t xml:space="preserve">2.5 End-of-Life (EoL) (Scope 3 - Category 12: End-of-life treatment of sold products)</w:t>
      </w:r>
    </w:p>
    <w:p>
      <w:pPr>
        <w:pStyle w:val="FirstParagraph"/>
      </w:pPr>
      <w:r>
        <w:t xml:space="preserve">The end-of-life scenario considers recyclability and the presence of circular economy programs.</w:t>
      </w:r>
    </w:p>
    <w:p>
      <w:pPr>
        <w:numPr>
          <w:ilvl w:val="0"/>
          <w:numId w:val="1023"/>
        </w:numPr>
        <w:pStyle w:val="Compact"/>
      </w:pPr>
      <w:r>
        <w:rPr>
          <w:bCs/>
          <w:b/>
        </w:rPr>
        <w:t xml:space="preserve">Recyclability Percentage:</w:t>
      </w:r>
      <w:r>
        <w:t xml:space="preserve"> </w:t>
      </w:r>
      <w:r>
        <w:t xml:space="preserve">ylhjumluem (80%)</w:t>
      </w:r>
    </w:p>
    <w:p>
      <w:pPr>
        <w:numPr>
          <w:ilvl w:val="0"/>
          <w:numId w:val="1023"/>
        </w:numPr>
        <w:pStyle w:val="Compact"/>
      </w:pPr>
      <w:r>
        <w:rPr>
          <w:bCs/>
          <w:b/>
        </w:rPr>
        <w:t xml:space="preserve">Circular/Take-back Programs:</w:t>
      </w:r>
      <w:r>
        <w:t xml:space="preserve"> </w:t>
      </w:r>
      <w:r>
        <w:t xml:space="preserve">mnfqeuotvz (Active take-back program in key markets)</w:t>
      </w:r>
    </w:p>
    <w:p>
      <w:pPr>
        <w:numPr>
          <w:ilvl w:val="0"/>
          <w:numId w:val="1023"/>
        </w:numPr>
        <w:pStyle w:val="Compact"/>
      </w:pPr>
      <w:r>
        <w:rPr>
          <w:bCs/>
          <w:b/>
        </w:rPr>
        <w:t xml:space="preserve">Non-recycled Portion:</w:t>
      </w:r>
      <w:r>
        <w:t xml:space="preserve"> </w:t>
      </w:r>
      <w:r>
        <w:t xml:space="preserve">100% - 80% = 20%</w:t>
      </w:r>
    </w:p>
    <w:p>
      <w:pPr>
        <w:numPr>
          <w:ilvl w:val="0"/>
          <w:numId w:val="1023"/>
        </w:numPr>
        <w:pStyle w:val="Compact"/>
      </w:pPr>
      <w:r>
        <w:rPr>
          <w:bCs/>
          <w:b/>
        </w:rPr>
        <w:t xml:space="preserve">Estimated Product Mass:</w:t>
      </w:r>
      <w:r>
        <w:t xml:space="preserve"> </w:t>
      </w:r>
      <w:r>
        <w:t xml:space="preserve">2 kg</w:t>
      </w:r>
    </w:p>
    <w:p>
      <w:pPr>
        <w:numPr>
          <w:ilvl w:val="0"/>
          <w:numId w:val="1023"/>
        </w:numPr>
        <w:pStyle w:val="Compact"/>
      </w:pPr>
      <w:r>
        <w:rPr>
          <w:bCs/>
          <w:b/>
        </w:rPr>
        <w:t xml:space="preserve">Mass of Non-recycled Material:</w:t>
      </w:r>
      <w:r>
        <w:t xml:space="preserve"> </w:t>
      </w:r>
      <w:r>
        <w:t xml:space="preserve">2 kg * 0.20 = 0.4 kg</w:t>
      </w:r>
    </w:p>
    <w:p>
      <w:pPr>
        <w:numPr>
          <w:ilvl w:val="0"/>
          <w:numId w:val="1023"/>
        </w:numPr>
        <w:pStyle w:val="Compact"/>
      </w:pPr>
      <w:r>
        <w:rPr>
          <w:bCs/>
          <w:b/>
        </w:rPr>
        <w:t xml:space="preserve">Emission Factor (Disposal/Incineration, simplified):</w:t>
      </w:r>
      <w:r>
        <w:t xml:space="preserve"> </w:t>
      </w:r>
      <w:r>
        <w:t xml:space="preserve">0.5 kg CO2e/kg (representative value for residual waste treatment. For context, landfilling plastic can be around 0.033 kg CO2e/kg, while other waste treatment options vary. This factor accounts for potential emissions from incineration or landfilling of the non-recycled portion)</w:t>
      </w:r>
    </w:p>
    <w:p>
      <w:pPr>
        <w:numPr>
          <w:ilvl w:val="0"/>
          <w:numId w:val="1023"/>
        </w:numPr>
        <w:pStyle w:val="Compact"/>
      </w:pPr>
      <w:r>
        <w:rPr>
          <w:bCs/>
          <w:b/>
        </w:rPr>
        <w:t xml:space="preserve">Emissions from End-of-Life:</w:t>
      </w:r>
      <w:r>
        <w:t xml:space="preserve"> </w:t>
      </w:r>
      <w:r>
        <w:t xml:space="preserve">0.4 kg * 0.5 kg CO2e/kg = 0.20 kg CO2e</w:t>
      </w:r>
    </w:p>
    <w:p>
      <w:pPr>
        <w:pStyle w:val="FirstParagraph"/>
      </w:pPr>
      <w:r>
        <w:t xml:space="preserve">The presence of an active take-back program for</w:t>
      </w:r>
      <w:r>
        <w:t xml:space="preserve"> </w:t>
      </w:r>
      <w:r>
        <w:rPr>
          <w:bCs/>
          <w:b/>
        </w:rPr>
        <w:t xml:space="preserve">ekiljtwdkm</w:t>
      </w:r>
      <w:r>
        <w:t xml:space="preserve"> </w:t>
      </w:r>
      <w:r>
        <w:t xml:space="preserve">demonstrates a commitment to circularity, which likely enhances the actual recycling rates and reduces the environmental burden from disposal.</w:t>
      </w:r>
    </w:p>
    <w:bookmarkEnd w:id="53"/>
    <w:bookmarkStart w:id="54" w:name="X43a8d2b80645014d799a22f427f6ac32be8331e"/>
    <w:p>
      <w:pPr>
        <w:pStyle w:val="Heading3"/>
      </w:pPr>
      <w:r>
        <w:t xml:space="preserve">2.6 Land Sector and Removals (LSR) Standard Update (2026)</w:t>
      </w:r>
    </w:p>
    <w:p>
      <w:pPr>
        <w:pStyle w:val="FirstParagraph"/>
      </w:pPr>
      <w:r>
        <w:t xml:space="preserve">In accordance with the 2026 LSR Standard update, direct land-use change and carbon removals were considered. The LSR Standard, effective January 1, 2027, provides guidance for quantifying, reporting, and tracking land emissions and CO₂ removals. For a manufactured electronic product like</w:t>
      </w:r>
      <w:r>
        <w:t xml:space="preserve"> </w:t>
      </w:r>
      <w:r>
        <w:rPr>
          <w:bCs/>
          <w:b/>
        </w:rPr>
        <w:t xml:space="preserve">gjlmletrzn</w:t>
      </w:r>
      <w:r>
        <w:t xml:space="preserve">, significant direct land sector impacts or removals are generally not associated with its lifecycle, particularly with the current data resolution. Indirect impacts via raw material supply chains (e.g., specific mining practices) are captured within the material emission factors. Therefore, no additional quantifiable LSR impacts were identified that significantly alter the PCF at this level of analysis. Companies with significant land-based activities or those sourcing agricultural products would find the LSR Standard particularly relevant.</w:t>
      </w:r>
    </w:p>
    <w:p>
      <w:r>
        <w:pict>
          <v:rect style="width:0;height:1.5pt" o:hralign="center" o:hrstd="t" o:hr="t"/>
        </w:pict>
      </w:r>
    </w:p>
    <w:bookmarkEnd w:id="54"/>
    <w:bookmarkEnd w:id="55"/>
    <w:bookmarkStart w:id="58" w:name="Xb25b9733420fdaf4b18840bfdefd5ad92eded79"/>
    <w:p>
      <w:pPr>
        <w:pStyle w:val="Heading2"/>
      </w:pPr>
      <w:r>
        <w:t xml:space="preserve">3. Calculation of Emissions (Activity * Emission Factor = CO2e)</w:t>
      </w:r>
    </w:p>
    <w:p>
      <w:pPr>
        <w:pStyle w:val="FirstParagraph"/>
      </w:pPr>
      <w:r>
        <w:t xml:space="preserve">The emissions for each lifecycle stage are aggregated and categorized according to the GHG Protocol.</w:t>
      </w:r>
    </w:p>
    <w:bookmarkStart w:id="56" w:name="Xa37731e665f6cbaaf3b6f09d8c12ccb5ff73ffb"/>
    <w:p>
      <w:pPr>
        <w:pStyle w:val="Heading3"/>
      </w:pPr>
      <w:r>
        <w:t xml:space="preserve">3.1 Summary of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(Category 1)</w:t>
            </w:r>
          </w:p>
        </w:tc>
        <w:tc>
          <w:tcPr/>
          <w:p>
            <w:pPr>
              <w:pStyle w:val="Compact"/>
              <w:jc w:val="left"/>
            </w:pPr>
            <w:r>
              <w:t xml:space="preserve">Raw materials, components, and packaging production</w:t>
            </w:r>
          </w:p>
        </w:tc>
        <w:tc>
          <w:tcPr/>
          <w:p>
            <w:pPr>
              <w:pStyle w:val="Compact"/>
              <w:jc w:val="left"/>
            </w:pPr>
            <w:r>
              <w:t xml:space="preserve">30.30</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Purchased electricity for manufacturing (grid portion)</w:t>
            </w:r>
          </w:p>
        </w:tc>
        <w:tc>
          <w:tcPr/>
          <w:p>
            <w:pPr>
              <w:pStyle w:val="Compact"/>
              <w:jc w:val="left"/>
            </w:pPr>
            <w:r>
              <w:t xml:space="preserve">2.70</w:t>
            </w:r>
          </w:p>
        </w:tc>
      </w:tr>
      <w:tr>
        <w:tc>
          <w:tcPr/>
          <w:p>
            <w:pPr>
              <w:pStyle w:val="Compact"/>
              <w:jc w:val="left"/>
            </w:pPr>
            <w:r>
              <w:t xml:space="preserve">Transport &amp; Distribution</w:t>
            </w:r>
          </w:p>
        </w:tc>
        <w:tc>
          <w:tcPr/>
          <w:p>
            <w:pPr>
              <w:pStyle w:val="Compact"/>
              <w:jc w:val="left"/>
            </w:pPr>
            <w:r>
              <w:t xml:space="preserve">Scope 3 (Category 4)</w:t>
            </w:r>
          </w:p>
        </w:tc>
        <w:tc>
          <w:tcPr/>
          <w:p>
            <w:pPr>
              <w:pStyle w:val="Compact"/>
              <w:jc w:val="left"/>
            </w:pPr>
            <w:r>
              <w:t xml:space="preserve">Upstream transportation (ocean and road freight)</w:t>
            </w:r>
          </w:p>
        </w:tc>
        <w:tc>
          <w:tcPr/>
          <w:p>
            <w:pPr>
              <w:pStyle w:val="Compact"/>
              <w:jc w:val="left"/>
            </w:pPr>
            <w:r>
              <w:t xml:space="preserve">0.29</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Energy consumption during product use over its lifespan</w:t>
            </w:r>
          </w:p>
        </w:tc>
        <w:tc>
          <w:tcPr/>
          <w:p>
            <w:pPr>
              <w:pStyle w:val="Compact"/>
              <w:jc w:val="left"/>
            </w:pPr>
            <w:r>
              <w:t xml:space="preserve">7.50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Disposal of non-recycled materials</w:t>
            </w:r>
          </w:p>
        </w:tc>
        <w:tc>
          <w:tcPr/>
          <w:p>
            <w:pPr>
              <w:pStyle w:val="Compact"/>
              <w:jc w:val="left"/>
            </w:pPr>
            <w:r>
              <w:t xml:space="preserve">0.20</w:t>
            </w:r>
          </w:p>
        </w:tc>
      </w:tr>
      <w:tr>
        <w:tc>
          <w:tcPr>
            <w:gridSpan w:val="3"/>
          </w:tcPr>
          <w:p>
            <w:pPr>
              <w:pStyle w:val="Compact"/>
              <w:jc w:val="right"/>
            </w:pPr>
            <w:r>
              <w:rPr>
                <w:bCs/>
                <w:b/>
              </w:rPr>
              <w:t xml:space="preserve">Total Product Carbon Footprint (kg CO2e):</w:t>
            </w:r>
          </w:p>
        </w:tc>
        <w:tc>
          <w:tcPr/>
          <w:p>
            <w:pPr>
              <w:pStyle w:val="Compact"/>
              <w:jc w:val="left"/>
            </w:pPr>
            <w:r>
              <w:rPr>
                <w:bCs/>
                <w:b/>
              </w:rPr>
              <w:t xml:space="preserve">40.99</w:t>
            </w:r>
          </w:p>
        </w:tc>
      </w:tr>
    </w:tbl>
    <w:bookmarkEnd w:id="56"/>
    <w:bookmarkStart w:id="57" w:name="X6f83ae5cce75db81cf2355ec73df44d1486cf8e"/>
    <w:p>
      <w:pPr>
        <w:pStyle w:val="Heading3"/>
      </w:pPr>
      <w:r>
        <w:t xml:space="preserve">3.2 Emissions Categorization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rPr>
                <w:bCs/>
                <w:b/>
              </w:rP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purchased electricity for production)</w:t>
            </w:r>
          </w:p>
        </w:tc>
        <w:tc>
          <w:tcPr/>
          <w:p>
            <w:pPr>
              <w:pStyle w:val="Compact"/>
              <w:jc w:val="left"/>
            </w:pPr>
            <w:r>
              <w:t xml:space="preserve">2.70</w:t>
            </w:r>
          </w:p>
        </w:tc>
        <w:tc>
          <w:tcPr/>
          <w:p>
            <w:pPr>
              <w:pStyle w:val="Compact"/>
              <w:jc w:val="left"/>
            </w:pPr>
            <w:r>
              <w:t xml:space="preserve">6.6%</w:t>
            </w:r>
          </w:p>
        </w:tc>
      </w:tr>
      <w:tr>
        <w:tc>
          <w:tcPr>
            <w:vMerge w:val="restart"/>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30.30</w:t>
            </w:r>
          </w:p>
        </w:tc>
        <w:tc>
          <w:tcPr/>
          <w:p>
            <w:pPr>
              <w:pStyle w:val="Compact"/>
              <w:jc w:val="left"/>
            </w:pPr>
            <w:r>
              <w:t xml:space="preserve">73.9%</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0.29</w:t>
            </w:r>
          </w:p>
        </w:tc>
        <w:tc>
          <w:tcPr/>
          <w:p>
            <w:pPr>
              <w:pStyle w:val="Compact"/>
              <w:jc w:val="left"/>
            </w:pPr>
            <w:r>
              <w:t xml:space="preserve">0.7%</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w:t>
            </w:r>
          </w:p>
        </w:tc>
        <w:tc>
          <w:tcPr/>
          <w:p>
            <w:pPr>
              <w:pStyle w:val="Compact"/>
              <w:jc w:val="left"/>
            </w:pPr>
            <w:r>
              <w:t xml:space="preserve">18.3%</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0.20</w:t>
            </w:r>
          </w:p>
        </w:tc>
        <w:tc>
          <w:tcPr/>
          <w:p>
            <w:pPr>
              <w:pStyle w:val="Compact"/>
              <w:jc w:val="left"/>
            </w:pPr>
            <w:r>
              <w:t xml:space="preserve">0.5%</w:t>
            </w:r>
          </w:p>
        </w:tc>
      </w:tr>
      <w:tr>
        <w:tc>
          <w:tcPr>
            <w:gridSpan w:val="2"/>
          </w:tcPr>
          <w:p>
            <w:pPr>
              <w:pStyle w:val="Compact"/>
              <w:jc w:val="right"/>
            </w:pPr>
            <w:r>
              <w:rPr>
                <w:bCs/>
                <w:b/>
              </w:rPr>
              <w:t xml:space="preserve">Total Product Carbon Footprint (kg CO2e):</w:t>
            </w:r>
          </w:p>
        </w:tc>
        <w:tc>
          <w:tcPr/>
          <w:p>
            <w:pPr>
              <w:pStyle w:val="Compact"/>
              <w:jc w:val="left"/>
            </w:pPr>
            <w:r>
              <w:rPr>
                <w:bCs/>
                <w:b/>
              </w:rPr>
              <w:t xml:space="preserve">40.99</w:t>
            </w:r>
          </w:p>
        </w:tc>
        <w:tc>
          <w:tcPr/>
          <w:p>
            <w:pPr>
              <w:pStyle w:val="Compact"/>
              <w:jc w:val="left"/>
            </w:pPr>
            <w:r>
              <w:rPr>
                <w:bCs/>
                <w:b/>
              </w:rPr>
              <w:t xml:space="preserve">100.0%</w:t>
            </w:r>
          </w:p>
        </w:tc>
      </w:tr>
    </w:tbl>
    <w:p>
      <w:pPr>
        <w:pStyle w:val="BodyText"/>
      </w:pPr>
      <w:r>
        <w:rPr>
          <w:bCs/>
          <w:b/>
        </w:rPr>
        <w:t xml:space="preserve">Scope 3 Compliance:</w:t>
      </w:r>
      <w:r>
        <w:t xml:space="preserve"> </w:t>
      </w:r>
      <w:r>
        <w:t xml:space="preserve">The detailed analysis of raw materials, transport, use phase, and end-of-life demonstrates significant coverage of Scope 3 emissions. The calculated Scope 3 emissions amount to 38.29 kg CO2e, representing approximately 93.4% of the total PCF. While highly comprehensive, further investigation into minor components or ancillary processes could help to reach or exceed the proposed 95% inclusion threshold for Scope 3 reporting, which is a key change in the GHG Protocol\'s 2026 Scope 3 Standard revisions.</w:t>
      </w:r>
    </w:p>
    <w:p>
      <w:r>
        <w:pict>
          <v:rect style="width:0;height:1.5pt" o:hralign="center" o:hrstd="t" o:hr="t"/>
        </w:pict>
      </w:r>
    </w:p>
    <w:bookmarkEnd w:id="57"/>
    <w:bookmarkEnd w:id="58"/>
    <w:bookmarkStart w:id="62" w:name="review-report-hotspots-and-reliability-1"/>
    <w:p>
      <w:pPr>
        <w:pStyle w:val="Heading2"/>
      </w:pPr>
      <w:r>
        <w:t xml:space="preserve">4. Review &amp; Report: Hotspots and Reliability</w:t>
      </w:r>
    </w:p>
    <w:bookmarkStart w:id="59" w:name="hotspot-identification-1"/>
    <w:p>
      <w:pPr>
        <w:pStyle w:val="Heading3"/>
      </w:pPr>
      <w:r>
        <w:t xml:space="preserve">4.1 Hotspot Identification</w:t>
      </w:r>
    </w:p>
    <w:p>
      <w:pPr>
        <w:pStyle w:val="FirstParagraph"/>
      </w:pPr>
      <w:r>
        <w:t xml:space="preserve">The analysis clearly identifies the following major emission hotspots for</w:t>
      </w:r>
      <w:r>
        <w:t xml:space="preserve"> </w:t>
      </w:r>
      <w:r>
        <w:rPr>
          <w:bCs/>
          <w:b/>
        </w:rPr>
        <w:t xml:space="preserve">gjlmletrzn</w:t>
      </w:r>
      <w:r>
        <w:t xml:space="preserve">:</w:t>
      </w:r>
    </w:p>
    <w:p>
      <w:pPr>
        <w:numPr>
          <w:ilvl w:val="0"/>
          <w:numId w:val="1024"/>
        </w:numPr>
        <w:pStyle w:val="Compact"/>
      </w:pPr>
      <w:r>
        <w:rPr>
          <w:bCs/>
          <w:b/>
        </w:rPr>
        <w:t xml:space="preserve">Materials Acquisition (73.9%):</w:t>
      </w:r>
      <w:r>
        <w:t xml:space="preserve"> </w:t>
      </w:r>
      <w:r>
        <w:t xml:space="preserve">This is the most significant contributor, largely driven by the embedded emissions in the Main PCB Assembly, Aluminum Casing, and especially the Lithium-Ion Battery. Strategies to reduce this impact should focus on:</w:t>
      </w:r>
    </w:p>
    <w:p>
      <w:pPr>
        <w:numPr>
          <w:ilvl w:val="1"/>
          <w:numId w:val="1025"/>
        </w:numPr>
        <w:pStyle w:val="Compact"/>
      </w:pPr>
      <w:r>
        <w:t xml:space="preserve">Sourcing lower-carbon alternative materials.</w:t>
      </w:r>
    </w:p>
    <w:p>
      <w:pPr>
        <w:numPr>
          <w:ilvl w:val="1"/>
          <w:numId w:val="1025"/>
        </w:numPr>
        <w:pStyle w:val="Compact"/>
      </w:pPr>
      <w:r>
        <w:t xml:space="preserve">Optimizing material usage and design for lightweighting.</w:t>
      </w:r>
    </w:p>
    <w:p>
      <w:pPr>
        <w:numPr>
          <w:ilvl w:val="1"/>
          <w:numId w:val="1025"/>
        </w:numPr>
        <w:pStyle w:val="Compact"/>
      </w:pPr>
      <w:r>
        <w:t xml:space="preserve">Engaging with suppliers to reduce their manufacturing emissions.</w:t>
      </w:r>
    </w:p>
    <w:p>
      <w:pPr>
        <w:numPr>
          <w:ilvl w:val="0"/>
          <w:numId w:val="1024"/>
        </w:numPr>
        <w:pStyle w:val="Compact"/>
      </w:pPr>
      <w:r>
        <w:rPr>
          <w:bCs/>
          <w:b/>
        </w:rPr>
        <w:t xml:space="preserve">Use Phase (18.3%):</w:t>
      </w:r>
      <w:r>
        <w:t xml:space="preserve"> </w:t>
      </w:r>
      <w:r>
        <w:t xml:space="preserve">The energy consumed during the product\'s 5-year lifespan is the second largest hotspot. Opportunities for reduction include:</w:t>
      </w:r>
    </w:p>
    <w:p>
      <w:pPr>
        <w:numPr>
          <w:ilvl w:val="1"/>
          <w:numId w:val="1026"/>
        </w:numPr>
        <w:pStyle w:val="Compact"/>
      </w:pPr>
      <w:r>
        <w:t xml:space="preserve">Improving energy efficiency of the product.</w:t>
      </w:r>
    </w:p>
    <w:p>
      <w:pPr>
        <w:numPr>
          <w:ilvl w:val="1"/>
          <w:numId w:val="1026"/>
        </w:numPr>
        <w:pStyle w:val="Compact"/>
      </w:pPr>
      <w:r>
        <w:t xml:space="preserve">Encouraging users to power the device with renewable energy.</w:t>
      </w:r>
    </w:p>
    <w:p>
      <w:pPr>
        <w:numPr>
          <w:ilvl w:val="0"/>
          <w:numId w:val="1024"/>
        </w:numPr>
        <w:pStyle w:val="Compact"/>
      </w:pPr>
      <w:r>
        <w:rPr>
          <w:bCs/>
          <w:b/>
        </w:rPr>
        <w:t xml:space="preserve">Production Energy (6.6%):</w:t>
      </w:r>
      <w:r>
        <w:t xml:space="preserve"> </w:t>
      </w:r>
      <w:r>
        <w:t xml:space="preserve">While already mitigated by 70% renewable energy usage, further increasing renewable energy penetration at manufacturing sites can further reduce this.</w:t>
      </w:r>
    </w:p>
    <w:bookmarkEnd w:id="59"/>
    <w:bookmarkStart w:id="60" w:name="data-reliability-and-limitations-1"/>
    <w:p>
      <w:pPr>
        <w:pStyle w:val="Heading3"/>
      </w:pPr>
      <w:r>
        <w:t xml:space="preserve">4.2 Data Reliability and Limitations</w:t>
      </w:r>
    </w:p>
    <w:p>
      <w:pPr>
        <w:pStyle w:val="FirstParagraph"/>
      </w:pPr>
      <w:r>
        <w:t xml:space="preserve">The reliability of this PCF is high due to the use of detailed primary data (simulated for BOM, energy, transport) and reliance on generally accepted industry-standard emission factors (representative of Ecoinvent/DEFRA data).</w:t>
      </w:r>
    </w:p>
    <w:p>
      <w:pPr>
        <w:numPr>
          <w:ilvl w:val="0"/>
          <w:numId w:val="1027"/>
        </w:numPr>
        <w:pStyle w:val="Compact"/>
      </w:pPr>
      <w:r>
        <w:rPr>
          <w:bCs/>
          <w:b/>
        </w:rPr>
        <w:t xml:space="preserve">Primary Data:</w:t>
      </w:r>
      <w:r>
        <w:t xml:space="preserve"> </w:t>
      </w:r>
      <w:r>
        <w:t xml:space="preserve">Specific BOM quantities, energy intensity, renewable energy usage, and transport distances were directly utilized.</w:t>
      </w:r>
    </w:p>
    <w:p>
      <w:pPr>
        <w:numPr>
          <w:ilvl w:val="0"/>
          <w:numId w:val="1027"/>
        </w:numPr>
        <w:pStyle w:val="Compact"/>
      </w:pPr>
      <w:r>
        <w:rPr>
          <w:bCs/>
          <w:b/>
        </w:rPr>
        <w:t xml:space="preserve">Secondary Data:</w:t>
      </w:r>
      <w:r>
        <w:t xml:space="preserve"> </w:t>
      </w:r>
      <w:r>
        <w:t xml:space="preserve">Emission factors for raw materials, energy grids (China and Europe), and transport modes are derived from recognized databases.</w:t>
      </w:r>
    </w:p>
    <w:p>
      <w:pPr>
        <w:numPr>
          <w:ilvl w:val="0"/>
          <w:numId w:val="1027"/>
        </w:numPr>
        <w:pStyle w:val="Compact"/>
      </w:pPr>
      <w:r>
        <w:rPr>
          <w:bCs/>
          <w:b/>
        </w:rPr>
        <w:t xml:space="preserve">Assumptions:</w:t>
      </w:r>
      <w:r>
        <w:t xml:space="preserve"> </w:t>
      </w:r>
      <w:r>
        <w:t xml:space="preserve">Minor assumptions were made for simplified EoL emissions and representative emission factors where exact supplier-specific data was not available. The product weight for transport was estimated.</w:t>
      </w:r>
    </w:p>
    <w:p>
      <w:pPr>
        <w:numPr>
          <w:ilvl w:val="0"/>
          <w:numId w:val="1027"/>
        </w:numPr>
        <w:pStyle w:val="Compact"/>
      </w:pPr>
      <w:r>
        <w:rPr>
          <w:bCs/>
          <w:b/>
        </w:rPr>
        <w:t xml:space="preserve">LSR Standard:</w:t>
      </w:r>
      <w:r>
        <w:t xml:space="preserve"> </w:t>
      </w:r>
      <w:r>
        <w:t xml:space="preserve">While acknowledged, specific land-use change impacts were not quantified as direct and significant impacts were not identified for this product\'s lifecycle based on available data.</w:t>
      </w:r>
    </w:p>
    <w:bookmarkEnd w:id="60"/>
    <w:bookmarkStart w:id="61" w:name="recommendations-for-reduction-1"/>
    <w:p>
      <w:pPr>
        <w:pStyle w:val="Heading3"/>
      </w:pPr>
      <w:r>
        <w:t xml:space="preserve">4.3 Recommendations for Reduction</w:t>
      </w:r>
    </w:p>
    <w:p>
      <w:pPr>
        <w:numPr>
          <w:ilvl w:val="0"/>
          <w:numId w:val="1028"/>
        </w:numPr>
        <w:pStyle w:val="Compact"/>
      </w:pPr>
      <w:r>
        <w:rPr>
          <w:bCs/>
          <w:b/>
        </w:rPr>
        <w:t xml:space="preserve">Material Optimization:</w:t>
      </w:r>
      <w:r>
        <w:t xml:space="preserve"> </w:t>
      </w:r>
      <w:r>
        <w:t xml:space="preserve">Explore materials with lower embodied carbon, such as recycled aluminum or bio-based plastics where feasible, without compromising product performance.</w:t>
      </w:r>
    </w:p>
    <w:p>
      <w:pPr>
        <w:numPr>
          <w:ilvl w:val="0"/>
          <w:numId w:val="1028"/>
        </w:numPr>
        <w:pStyle w:val="Compact"/>
      </w:pPr>
      <w:r>
        <w:rPr>
          <w:bCs/>
          <w:b/>
        </w:rPr>
        <w:t xml:space="preserve">Energy Efficiency:</w:t>
      </w:r>
      <w:r>
        <w:t xml:space="preserve"> </w:t>
      </w:r>
      <w:r>
        <w:t xml:space="preserve">Invest in R&amp;D to enhance the energy efficiency of</w:t>
      </w:r>
      <w:r>
        <w:t xml:space="preserve"> </w:t>
      </w:r>
      <w:r>
        <w:rPr>
          <w:bCs/>
          <w:b/>
        </w:rPr>
        <w:t xml:space="preserve">gjlmletrzn</w:t>
      </w:r>
      <w:r>
        <w:t xml:space="preserve"> </w:t>
      </w:r>
      <w:r>
        <w:t xml:space="preserve">during its operational life, thereby reducing the use phase footprint.</w:t>
      </w:r>
    </w:p>
    <w:p>
      <w:pPr>
        <w:numPr>
          <w:ilvl w:val="0"/>
          <w:numId w:val="1028"/>
        </w:numPr>
        <w:pStyle w:val="Compact"/>
      </w:pPr>
      <w:r>
        <w:rPr>
          <w:bCs/>
          <w:b/>
        </w:rPr>
        <w:t xml:space="preserve">Renewable Energy Expansion:</w:t>
      </w:r>
      <w:r>
        <w:t xml:space="preserve"> </w:t>
      </w:r>
      <w:r>
        <w:t xml:space="preserve">Continue to increase renewable energy adoption at manufacturing facilities and encourage suppliers to do the same.</w:t>
      </w:r>
    </w:p>
    <w:p>
      <w:pPr>
        <w:numPr>
          <w:ilvl w:val="0"/>
          <w:numId w:val="1028"/>
        </w:numPr>
        <w:pStyle w:val="Compact"/>
      </w:pPr>
      <w:r>
        <w:rPr>
          <w:bCs/>
          <w:b/>
        </w:rPr>
        <w:t xml:space="preserve">Circular Economy Initiatives:</w:t>
      </w:r>
      <w:r>
        <w:t xml:space="preserve"> </w:t>
      </w:r>
      <w:r>
        <w:t xml:space="preserve">Leverage the active take-back programs to maximize product recycling and explore opportunities for material reuse or refurbishment.</w:t>
      </w:r>
    </w:p>
    <w:p>
      <w:pPr>
        <w:numPr>
          <w:ilvl w:val="0"/>
          <w:numId w:val="1028"/>
        </w:numPr>
        <w:pStyle w:val="Compact"/>
      </w:pPr>
      <w:r>
        <w:rPr>
          <w:bCs/>
          <w:b/>
        </w:rPr>
        <w:t xml:space="preserve">Supplier Engagement:</w:t>
      </w:r>
      <w:r>
        <w:t xml:space="preserve"> </w:t>
      </w:r>
      <w:r>
        <w:t xml:space="preserve">Collaborate with key material and component suppliers to drive emission reductions within their own operations.</w:t>
      </w:r>
    </w:p>
    <w:p>
      <w:r>
        <w:pict>
          <v:rect style="width:0;height:1.5pt" o:hralign="center" o:hrstd="t" o:hr="t"/>
        </w:pict>
      </w:r>
    </w:p>
    <w:p>
      <w:pPr>
        <w:pStyle w:val="FirstParagraph"/>
      </w:pPr>
      <w:r>
        <w:t xml:space="preserve">Confidential - Internal Use Only | Page</w:t>
      </w:r>
    </w:p>
    <w:bookmarkEnd w:id="61"/>
    <w:bookmarkEnd w:id="62"/>
    <w:bookmarkEnd w:id="6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gjlmletrzn</dc:title>
  <dc:creator/>
  <dc:description/>
  <dc:language>en</dc:language>
  <cp:keywords>Product Carbon Footprint, PCF, GHG Protocol, Sustainability Report, Carbon Emissions, Lifecycle Assessment, LCA, ekiljtwdkm, gjlmletrzn, gdxsdtfxqd, Scope 1, Scope 2, Scope 3, Land Sector and Removals, LSR Standard, Bill of Materials, BOM, Renewable Energy, End-of-Life, Circular Economy, Product Carbon Footprint, PCF, GHG Protocol, Sustainability Report, Carbon Emissions, Lifecycle Assessment, LCA, ekiljtwdkm, gjlmletrzn, gdxsdtfxqd, Scope 1, Scope 2, Scope 3, Land Sector and Removals, LSR Standard, Bill of Materials, BOM, Renewable Energy, End-of-Life, Circular Economy</cp:keywords>
  <dcterms:created xsi:type="dcterms:W3CDTF">2026-05-30T22:59:26Z</dcterms:created>
  <dcterms:modified xsi:type="dcterms:W3CDTF">2026-05-30T22:59:26Z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
  </property>
</Properties>
</file>