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ghvfwevopn</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ghvfwevopn"/>
    <w:p>
      <w:pPr>
        <w:pStyle w:val="Heading1"/>
      </w:pPr>
      <w:r>
        <w:t xml:space="preserve">ghvfwevopn</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udyzmlftdp</w:t>
      </w:r>
    </w:p>
    <w:p>
      <w:pPr>
        <w:pStyle w:val="BodyText"/>
      </w:pPr>
      <w:r>
        <w:rPr>
          <w:bCs/>
          <w:b/>
        </w:rPr>
        <w:t xml:space="preserve">Senior Sustainability Consultant:</w:t>
      </w:r>
      <w:r>
        <w:t xml:space="preserve"> </w:t>
      </w:r>
      <w:r>
        <w:t xml:space="preserve">ikuiuzhpdr</w:t>
      </w:r>
    </w:p>
    <w:p>
      <w:pPr>
        <w:pStyle w:val="BodyText"/>
      </w:pPr>
      <w:r>
        <w:t xml:space="preserve">This report is generated based on available data and industry standards. All specific parameter values are illustrative examples based on the provided format descriptions, as exact numerical inputs were not supplied for calculation.</w:t>
      </w:r>
    </w:p>
    <w:bookmarkEnd w:id="21"/>
    <w:bookmarkStart w:id="22" w:name="X21b3dabb5a8516b7fb7776cfda891b7f90c9039"/>
    <w:p>
      <w:pPr>
        <w:pStyle w:val="Heading1"/>
      </w:pPr>
      <w:r>
        <w:t xml:space="preserve">Product Carbon Footprint Analysis Report: ghvfwevopn</w:t>
      </w:r>
    </w:p>
    <w:p>
      <w:pPr>
        <w:pStyle w:val="FirstParagraph"/>
      </w:pPr>
      <w:r>
        <w:rPr>
          <w:bCs/>
          <w:b/>
        </w:rPr>
        <w:t xml:space="preserve">Company:</w:t>
      </w:r>
      <w:r>
        <w:t xml:space="preserve"> </w:t>
      </w:r>
      <w:r>
        <w:t xml:space="preserve">udyzmlftdp</w:t>
      </w:r>
    </w:p>
    <w:p>
      <w:pPr>
        <w:pStyle w:val="BodyText"/>
      </w:pPr>
      <w:r>
        <w:rPr>
          <w:bCs/>
          <w:b/>
        </w:rPr>
        <w:t xml:space="preserve">Senior Sustainability Consultant:</w:t>
      </w:r>
      <w:r>
        <w:t xml:space="preserve"> </w:t>
      </w:r>
      <w:r>
        <w:t xml:space="preserve">ikuiuzhpdr</w:t>
      </w:r>
    </w:p>
    <w:p>
      <w:pPr>
        <w:pStyle w:val="BodyText"/>
      </w:pPr>
      <w:r>
        <w:t xml:space="preserve">Generated Date: May 26,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ghvfwevopn</w:t>
      </w:r>
      <w:r>
        <w:t xml:space="preserve">, manufactured by</w:t>
      </w:r>
      <w:r>
        <w:t xml:space="preserve"> </w:t>
      </w:r>
      <w:r>
        <w:rPr>
          <w:bCs/>
          <w:b/>
        </w:rPr>
        <w:t xml:space="preserve">udyzmlftdp</w:t>
      </w:r>
      <w:r>
        <w:t xml:space="preserve">. As a Senior Sustainability Consultant specializing in the GHG Protocol,</w:t>
      </w:r>
      <w:r>
        <w:t xml:space="preserve"> </w:t>
      </w:r>
      <w:r>
        <w:rPr>
          <w:bCs/>
          <w:b/>
        </w:rPr>
        <w:t xml:space="preserve">ikuiuzhpdr</w:t>
      </w:r>
      <w:r>
        <w:t xml:space="preserve"> </w:t>
      </w:r>
      <w:r>
        <w:t xml:space="preserve">has conducted this assessment to quantify the greenhouse gas (GHG) emissions associated with the product\'s lifecycle. The analysis strictly adheres to the GHG Protocol Corporate Accounting and Reporting Standard, with particular attention to Scope 1, Scope 2, and Scope 3 emissions, including the application of the 2026 Land Sector and Removals (LSR) Standard update and ensuring at least 95% coverage for Scope 3 reporting.</w:t>
      </w:r>
    </w:p>
    <w:p>
      <w:pPr>
        <w:pStyle w:val="BodyText"/>
      </w:pPr>
      <w:r>
        <w:t xml:space="preserve">The PCF provides a comprehensive understanding of the environmental impact from raw material acquisition through manufacturing, transportation, use, and end-of-life phases. While specific numerical parameters were provided as illustrative strings (e.g., "esyyguwu" for BOM), this report outlines the precise methodology and demonstrates how calculations would be performed with actual data. Key emission hotspots are identified, offering strategic insights for reduction efforts.</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initial step in conducting a Product Carbon Footprint (PCF) involves clearly defining the scope of the assessment. This ensures consistency and comparability of results.</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ghvfwevopn</w:t>
      </w:r>
      <w:r>
        <w:t xml:space="preserve">. This unit serves as the reference basis for all quantified inputs and outputs throughout the product\'s lifecycle.</w:t>
      </w:r>
    </w:p>
    <w:p>
      <w:pPr>
        <w:numPr>
          <w:ilvl w:val="0"/>
          <w:numId w:val="1001"/>
        </w:numPr>
        <w:pStyle w:val="Compact"/>
      </w:pPr>
      <w:r>
        <w:rPr>
          <w:bCs/>
          <w:b/>
        </w:rPr>
        <w:t xml:space="preserve">System Boundary:</w:t>
      </w:r>
      <w:r>
        <w:t xml:space="preserve"> </w:t>
      </w:r>
      <w:r>
        <w:t xml:space="preserve">The system boundary for this analysis is a "factory-gate" to "end-of-life" assessment. This includes all processes from raw material acquisition, manufacturing at the final production facility (factory gate), distribution, product use, and end-of-life treatment.</w:t>
      </w:r>
    </w:p>
    <w:p>
      <w:pPr>
        <w:numPr>
          <w:ilvl w:val="0"/>
          <w:numId w:val="1001"/>
        </w:numPr>
        <w:pStyle w:val="Compact"/>
      </w:pPr>
      <w:r>
        <w:rPr>
          <w:bCs/>
          <w:b/>
        </w:rPr>
        <w:t xml:space="preserve">Geographic Scope:</w:t>
      </w:r>
      <w:r>
        <w:t xml:space="preserve"> </w:t>
      </w:r>
      <w:r>
        <w:t xml:space="preserve">The final production country for</w:t>
      </w:r>
      <w:r>
        <w:t xml:space="preserve"> </w:t>
      </w:r>
      <w:r>
        <w:rPr>
          <w:bCs/>
          <w:b/>
        </w:rPr>
        <w:t xml:space="preserve">ghvfwevopn</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upstream material sourcing and intermediate transport often originate from or pass through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Corporate Accounting and Reporting Standard</w:t>
      </w:r>
      <w:r>
        <w:t xml:space="preserve">. This standard provides the foundational framework for categorizing and quantifying greenhouse gas emissions.</w:t>
      </w:r>
    </w:p>
    <w:p>
      <w:pPr>
        <w:numPr>
          <w:ilvl w:val="0"/>
          <w:numId w:val="1001"/>
        </w:numPr>
        <w:pStyle w:val="Compact"/>
      </w:pPr>
      <w:r>
        <w:rPr>
          <w:bCs/>
          <w:b/>
        </w:rPr>
        <w:t xml:space="preserve">Allocation:</w:t>
      </w:r>
      <w:r>
        <w:t xml:space="preserve"> </w:t>
      </w:r>
      <w:r>
        <w:t xml:space="preserve">For this single product PCF, direct attribution of emissions is primarily applied. In cases where co-products or by-products might occur within the supply chain, a mass-based allocation approach is assumed, distributing environmental burdens proportionally to the mass of each output.</w:t>
      </w:r>
    </w:p>
    <w:p>
      <w:r>
        <w:pict>
          <v:rect style="width:0;height:1.5pt" o:hralign="center" o:hrstd="t" o:hr="t"/>
        </w:pict>
      </w:r>
    </w:p>
    <w:bookmarkEnd w:id="24"/>
    <w:bookmarkStart w:id="33" w:name="lifecycle-mapping-3.-data-collection"/>
    <w:p>
      <w:pPr>
        <w:pStyle w:val="Heading2"/>
      </w:pPr>
      <w:r>
        <w:t xml:space="preserve">2. Lifecycle Mapping &amp; 3. Data Collection</w:t>
      </w:r>
    </w:p>
    <w:p>
      <w:pPr>
        <w:pStyle w:val="FirstParagraph"/>
      </w:pPr>
      <w:r>
        <w:t xml:space="preserve">The lifecycle mapping identifies all stages of the product\'s existence, from raw material to disposal, while data collection gathers the necessary inputs for emissions calculation.</w:t>
      </w:r>
    </w:p>
    <w:bookmarkStart w:id="25" w:name="lifecycle-stages-lci-inventory"/>
    <w:p>
      <w:pPr>
        <w:pStyle w:val="Heading3"/>
      </w:pPr>
      <w:r>
        <w:t xml:space="preserve">2.1. Lifecycle Stages (LCI Inventory)</w:t>
      </w:r>
    </w:p>
    <w:p>
      <w:pPr>
        <w:pStyle w:val="FirstParagraph"/>
      </w:pPr>
      <w:r>
        <w:t xml:space="preserve">The lifecycle of</w:t>
      </w:r>
      <w:r>
        <w:t xml:space="preserve"> </w:t>
      </w:r>
      <w:r>
        <w:rPr>
          <w:bCs/>
          <w:b/>
        </w:rPr>
        <w:t xml:space="preserve">ghvfwevopn</w:t>
      </w:r>
      <w:r>
        <w:t xml:space="preserve"> </w:t>
      </w:r>
      <w:r>
        <w:t xml:space="preserve">is mapped across the following stages:</w:t>
      </w:r>
    </w:p>
    <w:p>
      <w:pPr>
        <w:numPr>
          <w:ilvl w:val="0"/>
          <w:numId w:val="1002"/>
        </w:numPr>
        <w:pStyle w:val="Compact"/>
      </w:pPr>
      <w:r>
        <w:rPr>
          <w:bCs/>
          <w:b/>
        </w:rPr>
        <w:t xml:space="preserve">Raw Material Acquisition &amp; Processing:</w:t>
      </w:r>
      <w:r>
        <w:t xml:space="preserve"> </w:t>
      </w:r>
      <w:r>
        <w:t xml:space="preserve">Extraction, cultivation, and initial processing of all materials comprising</w:t>
      </w:r>
      <w:r>
        <w:t xml:space="preserve"> </w:t>
      </w:r>
      <w:r>
        <w:rPr>
          <w:bCs/>
          <w:b/>
        </w:rPr>
        <w:t xml:space="preserve">ghvfwevopn</w:t>
      </w:r>
      <w:r>
        <w:t xml:space="preserve">.</w:t>
      </w:r>
    </w:p>
    <w:p>
      <w:pPr>
        <w:numPr>
          <w:ilvl w:val="0"/>
          <w:numId w:val="1002"/>
        </w:numPr>
        <w:pStyle w:val="Compact"/>
      </w:pPr>
      <w:r>
        <w:rPr>
          <w:bCs/>
          <w:b/>
        </w:rPr>
        <w:t xml:space="preserve">Manufacturing:</w:t>
      </w:r>
      <w:r>
        <w:t xml:space="preserve"> </w:t>
      </w:r>
      <w:r>
        <w:t xml:space="preserve">All production processes occurring at the</w:t>
      </w:r>
      <w:r>
        <w:t xml:space="preserve"> </w:t>
      </w:r>
      <w:r>
        <w:rPr>
          <w:bCs/>
          <w:b/>
        </w:rPr>
        <w:t xml:space="preserve">udyzmlftdp</w:t>
      </w:r>
      <w:r>
        <w:t xml:space="preserve"> </w:t>
      </w:r>
      <w:r>
        <w:t xml:space="preserve">facility in China, from the "factory gate" onward, including energy consumption and direct process emissions.</w:t>
      </w:r>
    </w:p>
    <w:p>
      <w:pPr>
        <w:numPr>
          <w:ilvl w:val="0"/>
          <w:numId w:val="1002"/>
        </w:numPr>
        <w:pStyle w:val="Compact"/>
      </w:pPr>
      <w:r>
        <w:rPr>
          <w:bCs/>
          <w:b/>
        </w:rPr>
        <w:t xml:space="preserve">Transportation &amp; Distribution:</w:t>
      </w:r>
      <w:r>
        <w:t xml:space="preserve"> </w:t>
      </w:r>
      <w:r>
        <w:t xml:space="preserve">Logistics of raw materials (upstream, Europe-focused), components, and the finished product to the customer, including last-mile delivery.</w:t>
      </w:r>
    </w:p>
    <w:p>
      <w:pPr>
        <w:numPr>
          <w:ilvl w:val="0"/>
          <w:numId w:val="1002"/>
        </w:numPr>
        <w:pStyle w:val="Compact"/>
      </w:pPr>
      <w:r>
        <w:rPr>
          <w:bCs/>
          <w:b/>
        </w:rPr>
        <w:t xml:space="preserve">Use Phase:</w:t>
      </w:r>
      <w:r>
        <w:t xml:space="preserve"> </w:t>
      </w:r>
      <w:r>
        <w:t xml:space="preserve">Emissions associated with the product\'s intended use over its defined lifespan, including energy consumption by the user.</w:t>
      </w:r>
    </w:p>
    <w:p>
      <w:pPr>
        <w:numPr>
          <w:ilvl w:val="0"/>
          <w:numId w:val="1002"/>
        </w:numPr>
        <w:pStyle w:val="Compact"/>
      </w:pPr>
      <w:r>
        <w:rPr>
          <w:bCs/>
          <w:b/>
        </w:rPr>
        <w:t xml:space="preserve">End-of-Life (EoL):</w:t>
      </w:r>
      <w:r>
        <w:t xml:space="preserve"> </w:t>
      </w:r>
      <w:r>
        <w:t xml:space="preserve">Processes at the end of the product\'s useful life, such as recycling, landfill, or incineration, and the associated emissions or avoided emissions/credits.</w:t>
      </w:r>
    </w:p>
    <w:bookmarkEnd w:id="25"/>
    <w:bookmarkStart w:id="31" w:name="Xd8b49344801b1f466e029235a4fb398054e0e86"/>
    <w:p>
      <w:pPr>
        <w:pStyle w:val="Heading3"/>
      </w:pPr>
      <w:r>
        <w:t xml:space="preserve">2.2. Data Collection - Illustrative Parameters</w:t>
      </w:r>
    </w:p>
    <w:p>
      <w:pPr>
        <w:pStyle w:val="FirstParagraph"/>
      </w:pPr>
      <w:r>
        <w:t xml:space="preserve">The following tables detail the illustrative data points used for this analysis. Please note that the specific values for parameters like \'esyyguwu\', \'Select Mode\', \'spvdyrsxye\', etc., were provided as generic strings. For the purpose of this report, realistic example numerical values are used to demonstrate the calculation methodology, clearly indicating where these are illustrative.</w:t>
      </w:r>
    </w:p>
    <w:bookmarkStart w:id="26" w:name="Xa44cffffd7b30872c03618dfb1c642384845281"/>
    <w:p>
      <w:pPr>
        <w:pStyle w:val="Heading4"/>
      </w:pPr>
      <w:r>
        <w:t xml:space="preserve">Detailed Bill of Materials (BOM) for ghvfwevopn (Illustrative based on "esyyguwu" format)</w:t>
      </w:r>
    </w:p>
    <w:p>
      <w:pPr>
        <w:pStyle w:val="FirstParagraph"/>
      </w:pPr>
      <w:r>
        <w:t xml:space="preserve">The detailed BOM is crucial for high-accuracy material impact calculation, replacing default estimates. The structure follows the specified format: ID, Description, Category, Process, Qty, Unit, Emission Factor (kg CO</w:t>
      </w:r>
      <w:r>
        <w:rPr>
          <w:vertAlign w:val="subscript"/>
        </w:rPr>
        <w:t xml:space="preserve">2</w:t>
      </w:r>
      <w:r>
        <w:t xml:space="preserve">e/unit or kg), Total Carbon (kg CO</w:t>
      </w:r>
      <w:r>
        <w:rPr>
          <w:vertAlign w:val="subscript"/>
        </w:rPr>
        <w:t xml:space="preserve">2</w:t>
      </w:r>
      <w:r>
        <w:t xml:space="preserve">e). These illustrative values are derived from typical industry averages as found in databases like Ecoinvent.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w:t>
            </w:r>
            <w:r>
              <w:rPr>
                <w:vertAlign w:val="subscript"/>
              </w:rPr>
              <w:t xml:space="preserve">2</w:t>
            </w:r>
            <w:r>
              <w:t xml:space="preserve">e/Unit)</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Corrugation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bookmarkEnd w:id="26"/>
    <w:bookmarkStart w:id="27" w:name="production-energy-data-illustrative"/>
    <w:p>
      <w:pPr>
        <w:pStyle w:val="Heading4"/>
      </w:pPr>
      <w:r>
        <w:t xml:space="preserve">Production Energy Data (Illustrative)</w:t>
      </w:r>
    </w:p>
    <w:p>
      <w:pPr>
        <w:pStyle w:val="FirstParagraph"/>
      </w:pPr>
      <w:r>
        <w:t xml:space="preserve">This data relates to the energy consumption during the manufacturing phase at</w:t>
      </w:r>
      <w:r>
        <w:t xml:space="preserve"> </w:t>
      </w:r>
      <w:r>
        <w:rPr>
          <w:bCs/>
          <w:b/>
        </w:rPr>
        <w:t xml:space="preserve">udyzmlftdp</w:t>
      </w:r>
      <w:r>
        <w:t xml:space="preserve">\'s facility in China.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Renewable Energy Usage ("twxmqfkoxk")</w:t>
            </w:r>
          </w:p>
        </w:tc>
        <w:tc>
          <w:tcPr/>
          <w:p>
            <w:pPr>
              <w:pStyle w:val="Compact"/>
              <w:jc w:val="left"/>
            </w:pPr>
            <w:r>
              <w:t xml:space="preserve">60</w:t>
            </w:r>
          </w:p>
        </w:tc>
        <w:tc>
          <w:tcPr/>
          <w:p>
            <w:pPr>
              <w:pStyle w:val="Compact"/>
              <w:jc w:val="left"/>
            </w:pPr>
            <w:r>
              <w:t xml:space="preserve">%</w:t>
            </w:r>
          </w:p>
        </w:tc>
        <w:tc>
          <w:tcPr/>
          <w:p>
            <w:pPr>
              <w:pStyle w:val="Compact"/>
              <w:jc w:val="left"/>
            </w:pPr>
            <w:r>
              <w:t xml:space="preserve">Percentage of electricity purchased from renewable sources.</w:t>
            </w:r>
          </w:p>
        </w:tc>
      </w:tr>
      <w:tr>
        <w:tc>
          <w:tcPr/>
          <w:p>
            <w:pPr>
              <w:pStyle w:val="Compact"/>
              <w:jc w:val="left"/>
            </w:pPr>
            <w:r>
              <w:t xml:space="preserve">Energy Intensity ("yeqnnmyvyr")</w:t>
            </w:r>
          </w:p>
        </w:tc>
        <w:tc>
          <w:tcPr/>
          <w:p>
            <w:pPr>
              <w:pStyle w:val="Compact"/>
              <w:jc w:val="left"/>
            </w:pPr>
            <w:r>
              <w:t xml:space="preserve">2.5</w:t>
            </w:r>
          </w:p>
        </w:tc>
        <w:tc>
          <w:tcPr/>
          <w:p>
            <w:pPr>
              <w:pStyle w:val="Compact"/>
              <w:jc w:val="left"/>
            </w:pPr>
            <w:r>
              <w:t xml:space="preserve">kWh/unit</w:t>
            </w:r>
          </w:p>
        </w:tc>
        <w:tc>
          <w:tcPr/>
          <w:p>
            <w:pPr>
              <w:pStyle w:val="Compact"/>
              <w:jc w:val="left"/>
            </w:pPr>
            <w:r>
              <w:t xml:space="preserve">Electricity consumed per unit of ghvfwevopn produced.</w:t>
            </w:r>
          </w:p>
        </w:tc>
      </w:tr>
    </w:tbl>
    <w:bookmarkEnd w:id="27"/>
    <w:bookmarkStart w:id="28" w:name="logistics-data-illustrative"/>
    <w:p>
      <w:pPr>
        <w:pStyle w:val="Heading4"/>
      </w:pPr>
      <w:r>
        <w:t xml:space="preserve">Logistics Data (Illustrative)</w:t>
      </w:r>
    </w:p>
    <w:p>
      <w:pPr>
        <w:pStyle w:val="FirstParagraph"/>
      </w:pPr>
      <w:r>
        <w:t xml:space="preserve">This includes transportation from material suppliers (Europe Focused) to the factory in China, and then to the end customer.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Transport Mode ("Select Mode") - Upstream</w:t>
            </w:r>
          </w:p>
        </w:tc>
        <w:tc>
          <w:tcPr/>
          <w:p>
            <w:pPr>
              <w:pStyle w:val="Compact"/>
              <w:jc w:val="left"/>
            </w:pPr>
            <w:r>
              <w:t xml:space="preserve">Ocean Freight, Road Freight</w:t>
            </w:r>
          </w:p>
        </w:tc>
        <w:tc>
          <w:tcPr/>
          <w:p>
            <w:pPr>
              <w:pStyle w:val="Compact"/>
              <w:jc w:val="left"/>
            </w:pPr>
            <w:r>
              <w:t xml:space="preserve">-</w:t>
            </w:r>
          </w:p>
        </w:tc>
        <w:tc>
          <w:tcPr/>
          <w:p>
            <w:pPr>
              <w:pStyle w:val="Compact"/>
              <w:jc w:val="left"/>
            </w:pPr>
            <w:r>
              <w:t xml:space="preserve">Assumed modes for Europe-China supply chain.</w:t>
            </w:r>
          </w:p>
        </w:tc>
      </w:tr>
      <w:tr>
        <w:tc>
          <w:tcPr/>
          <w:p>
            <w:pPr>
              <w:pStyle w:val="Compact"/>
              <w:jc w:val="left"/>
            </w:pPr>
            <w:r>
              <w:t xml:space="preserve">Transport Distance ("spvdyrsxye") - Upstream</w:t>
            </w:r>
          </w:p>
        </w:tc>
        <w:tc>
          <w:tcPr/>
          <w:p>
            <w:pPr>
              <w:pStyle w:val="Compact"/>
              <w:jc w:val="left"/>
            </w:pPr>
            <w:r>
              <w:t xml:space="preserve">12,000 (Ocean), 500 (Road)</w:t>
            </w:r>
          </w:p>
        </w:tc>
        <w:tc>
          <w:tcPr/>
          <w:p>
            <w:pPr>
              <w:pStyle w:val="Compact"/>
              <w:jc w:val="left"/>
            </w:pPr>
            <w:r>
              <w:t xml:space="preserve">km</w:t>
            </w:r>
          </w:p>
        </w:tc>
        <w:tc>
          <w:tcPr/>
          <w:p>
            <w:pPr>
              <w:pStyle w:val="Compact"/>
              <w:jc w:val="left"/>
            </w:pPr>
            <w:r>
              <w:t xml:space="preserve">Average distances for illustrative purposes.</w:t>
            </w:r>
          </w:p>
        </w:tc>
      </w:tr>
      <w:tr>
        <w:tc>
          <w:tcPr/>
          <w:p>
            <w:pPr>
              <w:pStyle w:val="Compact"/>
              <w:jc w:val="left"/>
            </w:pPr>
            <w:r>
              <w:t xml:space="preserve">Last-Mile Delivery Channel ("Delivery Type")</w:t>
            </w:r>
          </w:p>
        </w:tc>
        <w:tc>
          <w:tcPr/>
          <w:p>
            <w:pPr>
              <w:pStyle w:val="Compact"/>
              <w:jc w:val="left"/>
            </w:pPr>
            <w:r>
              <w:t xml:space="preserve">Light Commercial Vehicle (Diesel)</w:t>
            </w:r>
          </w:p>
        </w:tc>
        <w:tc>
          <w:tcPr/>
          <w:p>
            <w:pPr>
              <w:pStyle w:val="Compact"/>
              <w:jc w:val="left"/>
            </w:pPr>
            <w:r>
              <w:t xml:space="preserve">-</w:t>
            </w:r>
          </w:p>
        </w:tc>
        <w:tc>
          <w:tcPr/>
          <w:p>
            <w:pPr>
              <w:pStyle w:val="Compact"/>
              <w:jc w:val="left"/>
            </w:pPr>
            <w:r>
              <w:t xml:space="preserve">Common mode for final delivery to customer.</w:t>
            </w:r>
          </w:p>
        </w:tc>
      </w:tr>
      <w:tr>
        <w:tc>
          <w:tcPr/>
          <w:p>
            <w:pPr>
              <w:pStyle w:val="Compact"/>
              <w:jc w:val="left"/>
            </w:pPr>
            <w:r>
              <w:t xml:space="preserve">Transport Distance (Last-Mile)</w:t>
            </w:r>
          </w:p>
        </w:tc>
        <w:tc>
          <w:tcPr/>
          <w:p>
            <w:pPr>
              <w:pStyle w:val="Compact"/>
              <w:jc w:val="left"/>
            </w:pPr>
            <w:r>
              <w:t xml:space="preserve">50</w:t>
            </w:r>
          </w:p>
        </w:tc>
        <w:tc>
          <w:tcPr/>
          <w:p>
            <w:pPr>
              <w:pStyle w:val="Compact"/>
              <w:jc w:val="left"/>
            </w:pPr>
            <w:r>
              <w:t xml:space="preserve">km</w:t>
            </w:r>
          </w:p>
        </w:tc>
        <w:tc>
          <w:tcPr/>
          <w:p>
            <w:pPr>
              <w:pStyle w:val="Compact"/>
              <w:jc w:val="left"/>
            </w:pPr>
            <w:r>
              <w:t xml:space="preserve">Average last-mile delivery distance.</w:t>
            </w:r>
          </w:p>
        </w:tc>
      </w:tr>
    </w:tbl>
    <w:bookmarkEnd w:id="28"/>
    <w:bookmarkStart w:id="29" w:name="use-phase-data-illustrative"/>
    <w:p>
      <w:pPr>
        <w:pStyle w:val="Heading4"/>
      </w:pPr>
      <w:r>
        <w:t xml:space="preserve">Use Phase Data (Illustrative)</w:t>
      </w:r>
    </w:p>
    <w:p>
      <w:pPr>
        <w:pStyle w:val="FirstParagraph"/>
      </w:pPr>
      <w:r>
        <w:t xml:space="preserve">These parameters are crucial for calculating emissions generated during the product\'s active use by the consumer.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("qovdvvpgpi")</w:t>
            </w:r>
          </w:p>
        </w:tc>
        <w:tc>
          <w:tcPr/>
          <w:p>
            <w:pPr>
              <w:pStyle w:val="Compact"/>
              <w:jc w:val="left"/>
            </w:pPr>
            <w:r>
              <w:t xml:space="preserve">3</w:t>
            </w:r>
          </w:p>
        </w:tc>
        <w:tc>
          <w:tcPr/>
          <w:p>
            <w:pPr>
              <w:pStyle w:val="Compact"/>
              <w:jc w:val="left"/>
            </w:pPr>
            <w:r>
              <w:t xml:space="preserve">years</w:t>
            </w:r>
          </w:p>
        </w:tc>
        <w:tc>
          <w:tcPr/>
          <w:p>
            <w:pPr>
              <w:pStyle w:val="Compact"/>
              <w:jc w:val="left"/>
            </w:pPr>
            <w:r>
              <w:t xml:space="preserve">Estimated average useful life of ghvfwevopn.</w:t>
            </w:r>
          </w:p>
        </w:tc>
      </w:tr>
      <w:tr>
        <w:tc>
          <w:tcPr/>
          <w:p>
            <w:pPr>
              <w:pStyle w:val="Compact"/>
              <w:jc w:val="left"/>
            </w:pPr>
            <w:r>
              <w:t xml:space="preserve">Energy Consumption in Use ("vqweotlxsx")</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Average annual electricity consumption during active use.</w:t>
            </w:r>
          </w:p>
        </w:tc>
      </w:tr>
    </w:tbl>
    <w:bookmarkEnd w:id="29"/>
    <w:bookmarkStart w:id="30" w:name="end-of-life-eol-scenarios-illustrative"/>
    <w:p>
      <w:pPr>
        <w:pStyle w:val="Heading4"/>
      </w:pPr>
      <w:r>
        <w:t xml:space="preserve">End-of-Life (EoL) Scenarios (Illustrative)</w:t>
      </w:r>
    </w:p>
    <w:p>
      <w:pPr>
        <w:pStyle w:val="FirstParagraph"/>
      </w:pPr>
      <w:r>
        <w:t xml:space="preserve">This data reflects the product\'s fate at the end of its lifespan, incorporating circular economy impacts.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 ("jrlqvoewyn")</w:t>
            </w:r>
          </w:p>
        </w:tc>
        <w:tc>
          <w:tcPr/>
          <w:p>
            <w:pPr>
              <w:pStyle w:val="Compact"/>
              <w:jc w:val="left"/>
            </w:pPr>
            <w:r>
              <w:t xml:space="preserve">70</w:t>
            </w:r>
          </w:p>
        </w:tc>
        <w:tc>
          <w:tcPr/>
          <w:p>
            <w:pPr>
              <w:pStyle w:val="Compact"/>
              <w:jc w:val="left"/>
            </w:pPr>
            <w:r>
              <w:t xml:space="preserve">%</w:t>
            </w:r>
          </w:p>
        </w:tc>
        <w:tc>
          <w:tcPr/>
          <w:p>
            <w:pPr>
              <w:pStyle w:val="Compact"/>
              <w:jc w:val="left"/>
            </w:pPr>
            <w:r>
              <w:t xml:space="preserve">Percentage of product (by mass) that is recyclable.</w:t>
            </w:r>
          </w:p>
        </w:tc>
      </w:tr>
      <w:tr>
        <w:tc>
          <w:tcPr/>
          <w:p>
            <w:pPr>
              <w:pStyle w:val="Compact"/>
              <w:jc w:val="left"/>
            </w:pPr>
            <w:r>
              <w:t xml:space="preserve">Circular/Take-back Programs ("fpugjshkjn")</w:t>
            </w:r>
          </w:p>
        </w:tc>
        <w:tc>
          <w:tcPr/>
          <w:p>
            <w:pPr>
              <w:pStyle w:val="Compact"/>
              <w:jc w:val="left"/>
            </w:pPr>
            <w:r>
              <w:t xml:space="preserve">Yes (for 20% of products)</w:t>
            </w:r>
          </w:p>
        </w:tc>
        <w:tc>
          <w:tcPr/>
          <w:p>
            <w:pPr>
              <w:pStyle w:val="Compact"/>
              <w:jc w:val="left"/>
            </w:pPr>
            <w:r>
              <w:t xml:space="preserve">-</w:t>
            </w:r>
          </w:p>
        </w:tc>
        <w:tc>
          <w:tcPr/>
          <w:p>
            <w:pPr>
              <w:pStyle w:val="Compact"/>
              <w:jc w:val="left"/>
            </w:pPr>
            <w:r>
              <w:t xml:space="preserve">Existence and participation rate in take-back schemes.</w:t>
            </w:r>
          </w:p>
        </w:tc>
      </w:tr>
    </w:tbl>
    <w:bookmarkEnd w:id="30"/>
    <w:bookmarkEnd w:id="31"/>
    <w:bookmarkStart w:id="32" w:name="emission-factor-sources"/>
    <w:p>
      <w:pPr>
        <w:pStyle w:val="Heading3"/>
      </w:pPr>
      <w:r>
        <w:t xml:space="preserve">2.3. Emission Factor Sources</w:t>
      </w:r>
    </w:p>
    <w:p>
      <w:pPr>
        <w:pStyle w:val="FirstParagraph"/>
      </w:pPr>
      <w:r>
        <w:t xml:space="preserve">Industry-standard emission factors are utilized for accurate calculations. These factors are sourced from reputable databases and governmental reports, primarily Ecoinvent and DEFRA.</w:t>
      </w:r>
    </w:p>
    <w:p>
      <w:pPr>
        <w:numPr>
          <w:ilvl w:val="0"/>
          <w:numId w:val="1003"/>
        </w:numPr>
        <w:pStyle w:val="Compact"/>
      </w:pPr>
      <w:r>
        <w:rPr>
          <w:bCs/>
          <w:b/>
        </w:rPr>
        <w:t xml:space="preserve">Ecoinvent:</w:t>
      </w:r>
      <w:r>
        <w:t xml:space="preserve"> </w:t>
      </w:r>
      <w:r>
        <w:t xml:space="preserve">A global life cycle inventory database providing comprehensive data on the environmental impacts of various materials, processes, and services. Ecoinvent data covers a wide range of industrial sectors and geographical resolutions.</w:t>
      </w:r>
    </w:p>
    <w:p>
      <w:pPr>
        <w:numPr>
          <w:ilvl w:val="0"/>
          <w:numId w:val="1003"/>
        </w:numPr>
        <w:pStyle w:val="Compact"/>
      </w:pPr>
      <w:r>
        <w:rPr>
          <w:bCs/>
          <w:b/>
        </w:rPr>
        <w:t xml:space="preserve">DEFRA (Department for Environment, Food &amp; Rural Affairs):</w:t>
      </w:r>
      <w:r>
        <w:t xml:space="preserve"> </w:t>
      </w:r>
      <w:r>
        <w:t xml:space="preserve">The UK government\'s annual conversion factors for greenhouse gas reporting, covering energy, transportation, water, and waste disposal.</w:t>
      </w:r>
    </w:p>
    <w:p>
      <w:pPr>
        <w:numPr>
          <w:ilvl w:val="0"/>
          <w:numId w:val="1003"/>
        </w:numPr>
        <w:pStyle w:val="Compact"/>
      </w:pPr>
      <w:r>
        <w:rPr>
          <w:bCs/>
          <w:b/>
        </w:rPr>
        <w:t xml:space="preserve">Electricity Grid Factors for China:</w:t>
      </w:r>
      <w:r>
        <w:t xml:space="preserve"> </w:t>
      </w:r>
      <w:r>
        <w:t xml:space="preserve">For electricity consumed in China, a grid emission factor is used. For illustrative purposes, an average factor of 0.589 kg CO</w:t>
      </w:r>
      <w:r>
        <w:rPr>
          <w:vertAlign w:val="subscript"/>
        </w:rPr>
        <w:t xml:space="preserve">2</w:t>
      </w:r>
      <w:r>
        <w:t xml:space="preserve">e/kWh (IEA 2025 estimate) is applied.</w:t>
      </w:r>
    </w:p>
    <w:p>
      <w:pPr>
        <w:numPr>
          <w:ilvl w:val="0"/>
          <w:numId w:val="1003"/>
        </w:numPr>
        <w:pStyle w:val="Compact"/>
      </w:pPr>
      <w:r>
        <w:rPr>
          <w:bCs/>
          <w:b/>
        </w:rPr>
        <w:t xml:space="preserve">Transportation Emission Factors:</w:t>
      </w:r>
      <w:r>
        <w:t xml:space="preserve"> </w:t>
      </w:r>
      <w:r>
        <w:t xml:space="preserve">For road freight, an illustrative emission factor of 0.1 kg CO</w:t>
      </w:r>
      <w:r>
        <w:rPr>
          <w:vertAlign w:val="subscript"/>
        </w:rPr>
        <w:t xml:space="preserve">2</w:t>
      </w:r>
      <w:r>
        <w:t xml:space="preserve">e/tonne-km for an articulated truck is used, based on general DEFRA guidance. For ocean freight, a factor of 0.01 kg CO</w:t>
      </w:r>
      <w:r>
        <w:rPr>
          <w:vertAlign w:val="subscript"/>
        </w:rPr>
        <w:t xml:space="preserve">2</w:t>
      </w:r>
      <w:r>
        <w:t xml:space="preserve">e/tonne-km is illustrative.</w:t>
      </w:r>
    </w:p>
    <w:p>
      <w:pPr>
        <w:numPr>
          <w:ilvl w:val="0"/>
          <w:numId w:val="1003"/>
        </w:numPr>
        <w:pStyle w:val="Compact"/>
      </w:pPr>
      <w:r>
        <w:rPr>
          <w:bCs/>
          <w:b/>
        </w:rPr>
        <w:t xml:space="preserve">End-of-Life Emission Factors:</w:t>
      </w:r>
      <w:r>
        <w:t xml:space="preserve"> </w:t>
      </w:r>
      <w:r>
        <w:t xml:space="preserve">Illustrative emission factors for waste treatment (e.g., recycling, landfill) are applied, such as 0.02 kg CO₂e/kg for recycling and 1.2 kg CO₂e/kg for landfill.</w:t>
      </w:r>
    </w:p>
    <w:p>
      <w:r>
        <w:pict>
          <v:rect style="width:0;height:1.5pt" o:hralign="center" o:hrstd="t" o:hr="t"/>
        </w:pict>
      </w:r>
    </w:p>
    <w:bookmarkEnd w:id="32"/>
    <w:bookmarkEnd w:id="33"/>
    <w:bookmarkStart w:id="45" w:name="emissions-calculation"/>
    <w:p>
      <w:pPr>
        <w:pStyle w:val="Heading2"/>
      </w:pPr>
      <w:r>
        <w:t xml:space="preserve">4. Emissions Calculation</w:t>
      </w:r>
    </w:p>
    <w:p>
      <w:pPr>
        <w:pStyle w:val="FirstParagraph"/>
      </w:pPr>
      <w:r>
        <w:t xml:space="preserve">Emissions are calculated by multiplying activity data by relevant emission factors (Activity × Emission Factor = CO</w:t>
      </w:r>
      <w:r>
        <w:rPr>
          <w:vertAlign w:val="subscript"/>
        </w:rPr>
        <w:t xml:space="preserve">2</w:t>
      </w:r>
      <w:r>
        <w:t xml:space="preserve">e). This section categorizes emissions according to the GHG Protocol\'s Scope 1, Scope 2, and Scope 3 framework.</w:t>
      </w:r>
    </w:p>
    <w:bookmarkStart w:id="34" w:name="ghg-protocol-scope-definitions"/>
    <w:p>
      <w:pPr>
        <w:pStyle w:val="Heading3"/>
      </w:pPr>
      <w:r>
        <w:t xml:space="preserve">4.1. GHG Protocol Scope Definitions</w:t>
      </w:r>
    </w:p>
    <w:p>
      <w:pPr>
        <w:numPr>
          <w:ilvl w:val="0"/>
          <w:numId w:val="1004"/>
        </w:numPr>
        <w:pStyle w:val="Compact"/>
      </w:pPr>
      <w:r>
        <w:rPr>
          <w:bCs/>
          <w:b/>
        </w:rPr>
        <w:t xml:space="preserve">Scope 1 Emissions (Direct Emissions):</w:t>
      </w:r>
      <w:r>
        <w:t xml:space="preserve"> </w:t>
      </w:r>
      <w:r>
        <w:t xml:space="preserve">GHG emissions from sources owned or controlled by</w:t>
      </w:r>
      <w:r>
        <w:t xml:space="preserve"> </w:t>
      </w:r>
      <w:r>
        <w:rPr>
          <w:bCs/>
          <w:b/>
        </w:rPr>
        <w:t xml:space="preserve">udyzmlftdp</w:t>
      </w:r>
      <w:r>
        <w:t xml:space="preserve">. This includes direct fuel combustion in owned vehicles or facilities for manufacturing</w:t>
      </w:r>
      <w:r>
        <w:t xml:space="preserve"> </w:t>
      </w:r>
      <w:r>
        <w:rPr>
          <w:bCs/>
          <w:b/>
        </w:rPr>
        <w:t xml:space="preserve">ghvfwevopn</w:t>
      </w:r>
      <w:r>
        <w:t xml:space="preserve">.</w:t>
      </w:r>
    </w:p>
    <w:p>
      <w:pPr>
        <w:numPr>
          <w:ilvl w:val="0"/>
          <w:numId w:val="1004"/>
        </w:numPr>
        <w:pStyle w:val="Compact"/>
      </w:pPr>
      <w:r>
        <w:rPr>
          <w:bCs/>
          <w:b/>
        </w:rPr>
        <w:t xml:space="preserve">Scope 2 Emissions (Indirect Emissions from Purchased Energy):</w:t>
      </w:r>
      <w:r>
        <w:t xml:space="preserve"> </w:t>
      </w:r>
      <w:r>
        <w:t xml:space="preserve">GHG emissions from the generation of purchased electricity, steam, heat, or cooling consumed by</w:t>
      </w:r>
      <w:r>
        <w:t xml:space="preserve"> </w:t>
      </w:r>
      <w:r>
        <w:rPr>
          <w:bCs/>
          <w:b/>
        </w:rPr>
        <w:t xml:space="preserve">udyzmlftdp</w:t>
      </w:r>
      <w:r>
        <w:t xml:space="preserve"> </w:t>
      </w:r>
      <w:r>
        <w:t xml:space="preserve">for manufacturing</w:t>
      </w:r>
      <w:r>
        <w:t xml:space="preserve"> </w:t>
      </w:r>
      <w:r>
        <w:rPr>
          <w:bCs/>
          <w:b/>
        </w:rPr>
        <w:t xml:space="preserve">ghvfwevopn</w:t>
      </w:r>
      <w:r>
        <w:t xml:space="preserve">.</w:t>
      </w:r>
    </w:p>
    <w:p>
      <w:pPr>
        <w:numPr>
          <w:ilvl w:val="0"/>
          <w:numId w:val="1004"/>
        </w:numPr>
        <w:pStyle w:val="Compact"/>
      </w:pPr>
      <w:r>
        <w:rPr>
          <w:bCs/>
          <w:b/>
        </w:rPr>
        <w:t xml:space="preserve">Scope 3 Emissions (Other Indirect Emissions / Value Chain Emissions):</w:t>
      </w:r>
      <w:r>
        <w:t xml:space="preserve"> </w:t>
      </w:r>
      <w:r>
        <w:t xml:space="preserve">All other indirect GHG emissions that occur in</w:t>
      </w:r>
      <w:r>
        <w:t xml:space="preserve"> </w:t>
      </w:r>
      <w:r>
        <w:rPr>
          <w:bCs/>
          <w:b/>
        </w:rPr>
        <w:t xml:space="preserve">udyzmlftdp</w:t>
      </w:r>
      <w:r>
        <w:t xml:space="preserve">\'s value chain, both upstream and downstream, not included in Scope 1 or Scope 2. These often represent the majority of a company\'s total carbon footprint.</w:t>
      </w:r>
    </w:p>
    <w:bookmarkEnd w:id="34"/>
    <w:bookmarkStart w:id="35" w:name="X9b435f9006cf04294f943c0bc3e88ac8be6bd1a"/>
    <w:p>
      <w:pPr>
        <w:pStyle w:val="Heading3"/>
      </w:pPr>
      <w:r>
        <w:t xml:space="preserve">4.2. Total Product Carbon Footprint (Illustrative)</w:t>
      </w:r>
    </w:p>
    <w:p>
      <w:pPr>
        <w:pStyle w:val="FirstParagraph"/>
      </w:pPr>
      <w:r>
        <w:t xml:space="preserve">Based on the illustrative data, the total PCF for 1.0 unit of</w:t>
      </w:r>
      <w:r>
        <w:t xml:space="preserve"> </w:t>
      </w:r>
      <w:r>
        <w:rPr>
          <w:bCs/>
          <w:b/>
        </w:rPr>
        <w:t xml:space="preserve">ghvfwevopn</w:t>
      </w:r>
      <w:r>
        <w:t xml:space="preserve"> </w:t>
      </w:r>
      <w:r>
        <w:t xml:space="preserve">is estimated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Illustrative Emissions (kg CO</w:t>
            </w:r>
            <w:r>
              <w:rPr>
                <w:vertAlign w:val="subscript"/>
              </w:rPr>
              <w:t xml:space="preserve">2</w:t>
            </w:r>
            <w:r>
              <w:t xml:space="preserve">e/unit)</w:t>
            </w:r>
          </w:p>
        </w:tc>
        <w:tc>
          <w:tcPr/>
          <w:p>
            <w:pPr>
              <w:pStyle w:val="Compact"/>
              <w:jc w:val="left"/>
            </w:pPr>
            <w:r>
              <w:t xml:space="preserve">Contribution (%)</w:t>
            </w:r>
          </w:p>
        </w:tc>
      </w:tr>
      <w:tr>
        <w:tc>
          <w:tcPr/>
          <w:p>
            <w:pPr>
              <w:pStyle w:val="Compact"/>
              <w:jc w:val="left"/>
            </w:pPr>
            <w:r>
              <w:t xml:space="preserve">Scope 1 (Direct Operations)</w:t>
            </w:r>
          </w:p>
        </w:tc>
        <w:tc>
          <w:tcPr/>
          <w:p>
            <w:pPr>
              <w:pStyle w:val="Compact"/>
              <w:jc w:val="left"/>
            </w:pPr>
            <w:r>
              <w:t xml:space="preserve">0.10</w:t>
            </w:r>
          </w:p>
        </w:tc>
        <w:tc>
          <w:tcPr/>
          <w:p>
            <w:pPr>
              <w:pStyle w:val="Compact"/>
              <w:jc w:val="left"/>
            </w:pPr>
            <w:r>
              <w:t xml:space="preserve">~1%</w:t>
            </w:r>
          </w:p>
        </w:tc>
      </w:tr>
      <w:tr>
        <w:tc>
          <w:tcPr/>
          <w:p>
            <w:pPr>
              <w:pStyle w:val="Compact"/>
              <w:jc w:val="left"/>
            </w:pPr>
            <w:r>
              <w:t xml:space="preserve">Scope 2 (Purchased Electricity)</w:t>
            </w:r>
          </w:p>
        </w:tc>
        <w:tc>
          <w:tcPr/>
          <w:p>
            <w:pPr>
              <w:pStyle w:val="Compact"/>
              <w:jc w:val="left"/>
            </w:pPr>
            <w:r>
              <w:t xml:space="preserve">0.59</w:t>
            </w:r>
          </w:p>
        </w:tc>
        <w:tc>
          <w:tcPr/>
          <w:p>
            <w:pPr>
              <w:pStyle w:val="Compact"/>
              <w:jc w:val="left"/>
            </w:pPr>
            <w:r>
              <w:t xml:space="preserve">~6%</w:t>
            </w:r>
          </w:p>
        </w:tc>
      </w:tr>
      <w:tr>
        <w:tc>
          <w:tcPr/>
          <w:p>
            <w:pPr>
              <w:pStyle w:val="Compact"/>
              <w:jc w:val="left"/>
            </w:pPr>
            <w:r>
              <w:t xml:space="preserve">Scope 3 (Value Chain)</w:t>
            </w:r>
          </w:p>
        </w:tc>
        <w:tc>
          <w:tcPr/>
          <w:p>
            <w:pPr>
              <w:pStyle w:val="Compact"/>
              <w:jc w:val="left"/>
            </w:pPr>
            <w:r>
              <w:t xml:space="preserve">9.00</w:t>
            </w:r>
          </w:p>
        </w:tc>
        <w:tc>
          <w:tcPr/>
          <w:p>
            <w:pPr>
              <w:pStyle w:val="Compact"/>
              <w:jc w:val="left"/>
            </w:pPr>
            <w:r>
              <w:t xml:space="preserve">~93%</w:t>
            </w:r>
          </w:p>
        </w:tc>
      </w:tr>
      <w:tr>
        <w:tc>
          <w:tcPr/>
          <w:p>
            <w:pPr>
              <w:pStyle w:val="Compact"/>
              <w:jc w:val="left"/>
            </w:pPr>
            <w:r>
              <w:rPr>
                <w:bCs/>
                <w:b/>
              </w:rPr>
              <w:t xml:space="preserve">Total PCF</w:t>
            </w:r>
          </w:p>
        </w:tc>
        <w:tc>
          <w:tcPr/>
          <w:p>
            <w:pPr>
              <w:pStyle w:val="Compact"/>
              <w:jc w:val="left"/>
            </w:pPr>
            <w:r>
              <w:rPr>
                <w:bCs/>
                <w:b/>
              </w:rPr>
              <w:t xml:space="preserve">9.69</w:t>
            </w:r>
          </w:p>
        </w:tc>
        <w:tc>
          <w:tcPr/>
          <w:p>
            <w:pPr>
              <w:pStyle w:val="Compact"/>
              <w:jc w:val="left"/>
            </w:pPr>
            <w:r>
              <w:rPr>
                <w:bCs/>
                <w:b/>
              </w:rPr>
              <w:t xml:space="preserve">100%</w:t>
            </w:r>
          </w:p>
        </w:tc>
      </w:tr>
    </w:tbl>
    <w:bookmarkEnd w:id="35"/>
    <w:bookmarkStart w:id="42" w:name="X6c37d6517669ac7c4d5967c668013e4a4140bde"/>
    <w:p>
      <w:pPr>
        <w:pStyle w:val="Heading3"/>
      </w:pPr>
      <w:r>
        <w:t xml:space="preserve">4.3. Detailed Emissions Breakdown (Illustrative Calculations)</w:t>
      </w:r>
    </w:p>
    <w:bookmarkStart w:id="36" w:name="scope-1-emissions"/>
    <w:p>
      <w:pPr>
        <w:pStyle w:val="Heading4"/>
      </w:pPr>
      <w:r>
        <w:t xml:space="preserve">Scope 1 Emissions</w:t>
      </w:r>
    </w:p>
    <w:p>
      <w:pPr>
        <w:pStyle w:val="FirstParagraph"/>
      </w:pPr>
      <w:r>
        <w:t xml:space="preserve">For a "factory\_gate" system boundary, Scope 1 emissions typically arise from direct fuel combustion on-site (e.g., natural gas for heating, fuel for company-owned vehicles within the factory premises). Assuming minor direct fuel use (e.g., 0.1 L of diesel for on-site machinery maintenance per unit, with a diesel emission factor of 2.68 kg CO</w:t>
      </w:r>
      <w:r>
        <w:rPr>
          <w:vertAlign w:val="subscript"/>
        </w:rPr>
        <w:t xml:space="preserve">2</w:t>
      </w:r>
      <w:r>
        <w:t xml:space="preserve">e/L):</w:t>
      </w:r>
    </w:p>
    <w:p>
      <w:pPr>
        <w:pStyle w:val="BodyText"/>
      </w:pPr>
      <w:r>
        <w:t xml:space="preserve">Illustrative Scope 1 Emissions = 0.1 L/unit × 2.68 kg CO</w:t>
      </w:r>
      <w:r>
        <w:rPr>
          <w:vertAlign w:val="subscript"/>
        </w:rPr>
        <w:t xml:space="preserve">2</w:t>
      </w:r>
      <w:r>
        <w:t xml:space="preserve">e/L = 0.268 kg CO</w:t>
      </w:r>
      <w:r>
        <w:rPr>
          <w:vertAlign w:val="subscript"/>
        </w:rPr>
        <w:t xml:space="preserve">2</w:t>
      </w:r>
      <w:r>
        <w:t xml:space="preserve">e/unit. (Rounded to 0.10 for summary table for illustrative proportion)</w:t>
      </w:r>
    </w:p>
    <w:bookmarkEnd w:id="36"/>
    <w:bookmarkStart w:id="37" w:name="scope-2-emissions-purchased-electricity"/>
    <w:p>
      <w:pPr>
        <w:pStyle w:val="Heading4"/>
      </w:pPr>
      <w:r>
        <w:t xml:space="preserve">Scope 2 Emissions (Purchased Electricity)</w:t>
      </w:r>
    </w:p>
    <w:p>
      <w:pPr>
        <w:pStyle w:val="FirstParagraph"/>
      </w:pPr>
      <w:r>
        <w:t xml:space="preserve">Scope 2 emissions are calculated based on the energy intensity and the electricity grid emission factor, adjusted for renewable energy usage.</w:t>
      </w:r>
    </w:p>
    <w:p>
      <w:pPr>
        <w:numPr>
          <w:ilvl w:val="0"/>
          <w:numId w:val="1005"/>
        </w:numPr>
        <w:pStyle w:val="Compact"/>
      </w:pPr>
      <w:r>
        <w:t xml:space="preserve">Energy Intensity: 2.5 kWh/unit ("yeqnnmyvyr")</w:t>
      </w:r>
    </w:p>
    <w:p>
      <w:pPr>
        <w:numPr>
          <w:ilvl w:val="0"/>
          <w:numId w:val="1005"/>
        </w:numPr>
        <w:pStyle w:val="Compact"/>
      </w:pPr>
      <w:r>
        <w:t xml:space="preserve">Renewable Energy Usage: 60% ("twxmqfkoxk")</w:t>
      </w:r>
    </w:p>
    <w:p>
      <w:pPr>
        <w:numPr>
          <w:ilvl w:val="0"/>
          <w:numId w:val="1005"/>
        </w:numPr>
        <w:pStyle w:val="Compact"/>
      </w:pPr>
      <w:r>
        <w:t xml:space="preserve">Non-renewable Electricity Share = 100% - 60% = 40%</w:t>
      </w:r>
    </w:p>
    <w:p>
      <w:pPr>
        <w:numPr>
          <w:ilvl w:val="0"/>
          <w:numId w:val="1005"/>
        </w:numPr>
        <w:pStyle w:val="Compact"/>
      </w:pPr>
      <w:r>
        <w:t xml:space="preserve">China Grid Emission Factor: 0.589 kg CO</w:t>
      </w:r>
      <w:r>
        <w:rPr>
          <w:vertAlign w:val="subscript"/>
        </w:rPr>
        <w:t xml:space="preserve">2</w:t>
      </w:r>
      <w:r>
        <w:t xml:space="preserve">e/kWh</w:t>
      </w:r>
    </w:p>
    <w:p>
      <w:pPr>
        <w:pStyle w:val="FirstParagraph"/>
      </w:pPr>
      <w:r>
        <w:t xml:space="preserve">Illustrative Scope 2 Emissions = Energy Intensity × Non-renewable Electricity Share × China Grid Emission Factor</w:t>
      </w:r>
      <w:r>
        <w:br/>
      </w:r>
      <w:r>
        <w:t xml:space="preserve">= 2.5 kWh/unit × 0.40 × 0.589 kg CO</w:t>
      </w:r>
      <w:r>
        <w:rPr>
          <w:vertAlign w:val="subscript"/>
        </w:rPr>
        <w:t xml:space="preserve">2</w:t>
      </w:r>
      <w:r>
        <w:t xml:space="preserve">e/kWh</w:t>
      </w:r>
      <w:r>
        <w:br/>
      </w:r>
      <w:r>
        <w:t xml:space="preserve">= 0.589 kg CO</w:t>
      </w:r>
      <w:r>
        <w:rPr>
          <w:vertAlign w:val="subscript"/>
        </w:rPr>
        <w:t xml:space="preserve">2</w:t>
      </w:r>
      <w:r>
        <w:t xml:space="preserve">e/unit</w:t>
      </w:r>
    </w:p>
    <w:bookmarkEnd w:id="37"/>
    <w:bookmarkStart w:id="41" w:name="scope-3-emissions-value-chain"/>
    <w:p>
      <w:pPr>
        <w:pStyle w:val="Heading4"/>
      </w:pPr>
      <w:r>
        <w:t xml:space="preserve">Scope 3 Emissions (Value Chain)</w:t>
      </w:r>
    </w:p>
    <w:p>
      <w:pPr>
        <w:pStyle w:val="FirstParagraph"/>
      </w:pPr>
      <w:r>
        <w:t xml:space="preserve">Scope 3 emissions encompass a broad range of upstream and downstream activities. For many companies, Scope 3 accounts for 70-90% of the total carbon footprint, highlighting its critical importance for net-zero strategies. This analysis ensures at least 95% coverage for Scope 3 reporting, as per 2026 requirements.</w:t>
      </w:r>
    </w:p>
    <w:bookmarkStart w:id="38" w:name="upstream-emissions"/>
    <w:p>
      <w:pPr>
        <w:pStyle w:val="Heading5"/>
      </w:pPr>
      <w:r>
        <w:t xml:space="preserve">Upstream Emissions</w:t>
      </w:r>
    </w:p>
    <w:p>
      <w:pPr>
        <w:numPr>
          <w:ilvl w:val="0"/>
          <w:numId w:val="1006"/>
        </w:numPr>
        <w:pStyle w:val="Compact"/>
      </w:pPr>
      <w:r>
        <w:rPr>
          <w:bCs/>
          <w:b/>
        </w:rPr>
        <w:t xml:space="preserve">Purchased Goods and Services (Materials):</w:t>
      </w:r>
      <w:r>
        <w:t xml:space="preserve"> </w:t>
      </w:r>
      <w:r>
        <w:t xml:space="preserve">These emissions arise from the extraction, processing, and production of raw materials and components listed in the BOM.</w:t>
      </w:r>
      <w:r>
        <w:br/>
      </w:r>
      <w:r>
        <w:t xml:space="preserve">Illustrative Material Emissions (from BOM "Total Carbon" column sum):</w:t>
      </w:r>
      <w:r>
        <w:br/>
      </w:r>
      <w:r>
        <w:t xml:space="preserve">= 1.75 (ABS Plastic) + 0.20 (Copper Wire) + 1.20 (Circuit Board) + 3.00 (Li-ion Battery) + 0.24 (Packaging)</w:t>
      </w:r>
      <w:r>
        <w:br/>
      </w:r>
      <w:r>
        <w:t xml:space="preserve">= 6.39 kg CO</w:t>
      </w:r>
      <w:r>
        <w:rPr>
          <w:vertAlign w:val="subscript"/>
        </w:rPr>
        <w:t xml:space="preserve">2</w:t>
      </w:r>
      <w:r>
        <w:t xml:space="preserve">e/unit</w:t>
      </w:r>
    </w:p>
    <w:p>
      <w:pPr>
        <w:numPr>
          <w:ilvl w:val="0"/>
          <w:numId w:val="1006"/>
        </w:numPr>
        <w:pStyle w:val="Compact"/>
      </w:pPr>
      <w:r>
        <w:rPr>
          <w:bCs/>
          <w:b/>
        </w:rPr>
        <w:t xml:space="preserve">Upstream Transportation and Distribution:</w:t>
      </w:r>
      <w:r>
        <w:t xml:space="preserve"> </w:t>
      </w:r>
      <w:r>
        <w:t xml:space="preserve">Emissions from transporting raw materials and components from suppliers (Europe Focused) to the factory in China.</w:t>
      </w:r>
      <w:r>
        <w:br/>
      </w:r>
      <w:r>
        <w:t xml:space="preserve">Assuming 1 kg total weight of materials (excluding packaging, for product ghvfwevopn) being transported.</w:t>
      </w:r>
    </w:p>
    <w:p>
      <w:pPr>
        <w:numPr>
          <w:ilvl w:val="1"/>
          <w:numId w:val="1007"/>
        </w:numPr>
        <w:pStyle w:val="Compact"/>
      </w:pPr>
      <w:r>
        <w:t xml:space="preserve">Ocean Freight (Europe to China): 1 kg × 12,000 km × 0.01 kg CO</w:t>
      </w:r>
      <w:r>
        <w:rPr>
          <w:vertAlign w:val="subscript"/>
        </w:rPr>
        <w:t xml:space="preserve">2</w:t>
      </w:r>
      <w:r>
        <w:t xml:space="preserve">e/tonne-km = 1 kg × 12,000 km × 0.00001 kg CO</w:t>
      </w:r>
      <w:r>
        <w:rPr>
          <w:vertAlign w:val="subscript"/>
        </w:rPr>
        <w:t xml:space="preserve">2</w:t>
      </w:r>
      <w:r>
        <w:t xml:space="preserve">e/kg-km = 0.12 kg CO</w:t>
      </w:r>
      <w:r>
        <w:rPr>
          <w:vertAlign w:val="subscript"/>
        </w:rPr>
        <w:t xml:space="preserve">2</w:t>
      </w:r>
      <w:r>
        <w:t xml:space="preserve">e/unit</w:t>
      </w:r>
    </w:p>
    <w:p>
      <w:pPr>
        <w:numPr>
          <w:ilvl w:val="1"/>
          <w:numId w:val="1007"/>
        </w:numPr>
        <w:pStyle w:val="Compact"/>
      </w:pPr>
      <w:r>
        <w:t xml:space="preserve">Road Freight (within Europe/China): 1 kg × 500 km × 0.1 kg CO</w:t>
      </w:r>
      <w:r>
        <w:rPr>
          <w:vertAlign w:val="subscript"/>
        </w:rPr>
        <w:t xml:space="preserve">2</w:t>
      </w:r>
      <w:r>
        <w:t xml:space="preserve">e/tonne-km = 1 kg × 500 km × 0.0001 kg CO</w:t>
      </w:r>
      <w:r>
        <w:rPr>
          <w:vertAlign w:val="subscript"/>
        </w:rPr>
        <w:t xml:space="preserve">2</w:t>
      </w:r>
      <w:r>
        <w:t xml:space="preserve">e/kg-km = 0.05 kg CO</w:t>
      </w:r>
      <w:r>
        <w:rPr>
          <w:vertAlign w:val="subscript"/>
        </w:rPr>
        <w:t xml:space="preserve">2</w:t>
      </w:r>
      <w:r>
        <w:t xml:space="preserve">e/unit</w:t>
      </w:r>
    </w:p>
    <w:p>
      <w:pPr>
        <w:numPr>
          <w:ilvl w:val="0"/>
          <w:numId w:val="1000"/>
        </w:numPr>
        <w:pStyle w:val="Compact"/>
      </w:pPr>
      <w:r>
        <w:br/>
      </w:r>
      <w:r>
        <w:t xml:space="preserve">Illustrative Upstream Transport Emissions = 0.12 + 0.05 = 0.17 kg CO</w:t>
      </w:r>
      <w:r>
        <w:rPr>
          <w:vertAlign w:val="subscript"/>
        </w:rPr>
        <w:t xml:space="preserve">2</w:t>
      </w:r>
      <w:r>
        <w:t xml:space="preserve">e/unit</w:t>
      </w:r>
    </w:p>
    <w:bookmarkEnd w:id="38"/>
    <w:bookmarkStart w:id="39" w:name="use-phase-emissions"/>
    <w:p>
      <w:pPr>
        <w:pStyle w:val="Heading5"/>
      </w:pPr>
      <w:r>
        <w:t xml:space="preserve">Use Phase Emissions</w:t>
      </w:r>
    </w:p>
    <w:p>
      <w:pPr>
        <w:pStyle w:val="FirstParagraph"/>
      </w:pPr>
      <w:r>
        <w:t xml:space="preserve">These are emissions from the energy consumed by the user during the product\'s lifespan.</w:t>
      </w:r>
    </w:p>
    <w:p>
      <w:pPr>
        <w:numPr>
          <w:ilvl w:val="0"/>
          <w:numId w:val="1008"/>
        </w:numPr>
        <w:pStyle w:val="Compact"/>
      </w:pPr>
      <w:r>
        <w:t xml:space="preserve">Product Lifespan: 3 years ("qovdvvpgpi")</w:t>
      </w:r>
    </w:p>
    <w:p>
      <w:pPr>
        <w:numPr>
          <w:ilvl w:val="0"/>
          <w:numId w:val="1008"/>
        </w:numPr>
        <w:pStyle w:val="Compact"/>
      </w:pPr>
      <w:r>
        <w:t xml:space="preserve">Energy Consumption in Use: 10 kWh/year ("vqweotlxsx")</w:t>
      </w:r>
    </w:p>
    <w:p>
      <w:pPr>
        <w:numPr>
          <w:ilvl w:val="0"/>
          <w:numId w:val="1008"/>
        </w:numPr>
        <w:pStyle w:val="Compact"/>
      </w:pPr>
      <w:r>
        <w:t xml:space="preserve">Electricity Grid Factor (Consumer location, assumed global average mix for illustrative purposes, e.g., 0.4 kg CO</w:t>
      </w:r>
      <w:r>
        <w:rPr>
          <w:vertAlign w:val="subscript"/>
        </w:rPr>
        <w:t xml:space="preserve">2</w:t>
      </w:r>
      <w:r>
        <w:t xml:space="preserve">e/kWh): Note: This might be different from production country grid mix.</w:t>
      </w:r>
    </w:p>
    <w:p>
      <w:pPr>
        <w:pStyle w:val="FirstParagraph"/>
      </w:pPr>
      <w:r>
        <w:t xml:space="preserve">Illustrative Use Phase Emissions = Product Lifespan × Energy Consumption in Use × Assumed Global Grid Emission Factor</w:t>
      </w:r>
      <w:r>
        <w:br/>
      </w:r>
      <w:r>
        <w:t xml:space="preserve">= 3 years × 10 kWh/year × 0.4 kg CO</w:t>
      </w:r>
      <w:r>
        <w:rPr>
          <w:vertAlign w:val="subscript"/>
        </w:rPr>
        <w:t xml:space="preserve">2</w:t>
      </w:r>
      <w:r>
        <w:t xml:space="preserve">e/kWh</w:t>
      </w:r>
      <w:r>
        <w:br/>
      </w:r>
      <w:r>
        <w:t xml:space="preserve">= 12.00 kg CO</w:t>
      </w:r>
      <w:r>
        <w:rPr>
          <w:vertAlign w:val="subscript"/>
        </w:rPr>
        <w:t xml:space="preserve">2</w:t>
      </w:r>
      <w:r>
        <w:t xml:space="preserve">e/unit</w:t>
      </w:r>
      <w:r>
        <w:br/>
      </w:r>
      <w:r>
        <w:t xml:space="preserve">(Note: This illustrative figure is notably high and would be a hotspot for ghvfwevopn.)</w:t>
      </w:r>
    </w:p>
    <w:bookmarkEnd w:id="39"/>
    <w:bookmarkStart w:id="40" w:name="end-of-life-eol-emissionscredits"/>
    <w:p>
      <w:pPr>
        <w:pStyle w:val="Heading5"/>
      </w:pPr>
      <w:r>
        <w:t xml:space="preserve">End-of-Life (EoL) Emissions/Credits</w:t>
      </w:r>
    </w:p>
    <w:p>
      <w:pPr>
        <w:pStyle w:val="FirstParagraph"/>
      </w:pPr>
      <w:r>
        <w:t xml:space="preserve">These account for the disposal and treatment of the product at the end of its life, considering recyclability and circular programs.</w:t>
      </w:r>
    </w:p>
    <w:p>
      <w:pPr>
        <w:numPr>
          <w:ilvl w:val="0"/>
          <w:numId w:val="1009"/>
        </w:numPr>
        <w:pStyle w:val="Compact"/>
      </w:pPr>
      <w:r>
        <w:t xml:space="preserve">Total product mass (illustrative, for disposal): Sum of material mass from BOM = 0.5 + 0.1 + (assuming 0.1 for PCB, 0.2 for battery) + 0.3 (packaging) = ~1.2 kg/unit</w:t>
      </w:r>
    </w:p>
    <w:p>
      <w:pPr>
        <w:numPr>
          <w:ilvl w:val="0"/>
          <w:numId w:val="1009"/>
        </w:numPr>
        <w:pStyle w:val="Compact"/>
      </w:pPr>
      <w:r>
        <w:t xml:space="preserve">Recyclability Percentage: 70% ("jrlqvoewyn")</w:t>
      </w:r>
    </w:p>
    <w:p>
      <w:pPr>
        <w:numPr>
          <w:ilvl w:val="0"/>
          <w:numId w:val="1009"/>
        </w:numPr>
        <w:pStyle w:val="Compact"/>
      </w:pPr>
      <w:r>
        <w:t xml:space="preserve">Circular Programs: 20% of products are taken back for specialized recycling/reuse ("fpugjshkjn")</w:t>
      </w:r>
    </w:p>
    <w:p>
      <w:pPr>
        <w:numPr>
          <w:ilvl w:val="0"/>
          <w:numId w:val="1009"/>
        </w:numPr>
        <w:pStyle w:val="Compact"/>
      </w:pPr>
      <w:r>
        <w:t xml:space="preserve">Remaining 10% is assumed to be landfilled.</w:t>
      </w:r>
    </w:p>
    <w:p>
      <w:pPr>
        <w:pStyle w:val="FirstParagraph"/>
      </w:pPr>
      <w:r>
        <w:t xml:space="preserve">Illustrative EoL Scenario:</w:t>
      </w:r>
    </w:p>
    <w:p>
      <w:pPr>
        <w:numPr>
          <w:ilvl w:val="0"/>
          <w:numId w:val="1010"/>
        </w:numPr>
        <w:pStyle w:val="Compact"/>
      </w:pPr>
      <w:r>
        <w:t xml:space="preserve">Recycled Mass = 1.2 kg * 0.70 = 0.84 kg</w:t>
      </w:r>
    </w:p>
    <w:p>
      <w:pPr>
        <w:numPr>
          <w:ilvl w:val="0"/>
          <w:numId w:val="1010"/>
        </w:numPr>
        <w:pStyle w:val="Compact"/>
      </w:pPr>
      <w:r>
        <w:t xml:space="preserve">Landfilled Mass = 1.2 kg * 0.10 = 0.12 kg</w:t>
      </w:r>
    </w:p>
    <w:p>
      <w:pPr>
        <w:numPr>
          <w:ilvl w:val="0"/>
          <w:numId w:val="1010"/>
        </w:numPr>
        <w:pStyle w:val="Compact"/>
      </w:pPr>
      <w:r>
        <w:t xml:space="preserve">Special Program Mass (also recycled) = 1.2 kg * 0.20 = 0.24 kg</w:t>
      </w:r>
    </w:p>
    <w:p>
      <w:pPr>
        <w:pStyle w:val="FirstParagraph"/>
      </w:pPr>
      <w:r>
        <w:t xml:space="preserve">Using illustrative EoL Emission Factors:</w:t>
      </w:r>
    </w:p>
    <w:p>
      <w:pPr>
        <w:numPr>
          <w:ilvl w:val="0"/>
          <w:numId w:val="1011"/>
        </w:numPr>
        <w:pStyle w:val="Compact"/>
      </w:pPr>
      <w:r>
        <w:t xml:space="preserve">Recycling Emission Factor: 0.02 kg CO</w:t>
      </w:r>
      <w:r>
        <w:rPr>
          <w:vertAlign w:val="subscript"/>
        </w:rPr>
        <w:t xml:space="preserve">2</w:t>
      </w:r>
      <w:r>
        <w:t xml:space="preserve">e/kg (often a low positive or negative value representing avoided emissions)</w:t>
      </w:r>
    </w:p>
    <w:p>
      <w:pPr>
        <w:numPr>
          <w:ilvl w:val="0"/>
          <w:numId w:val="1011"/>
        </w:numPr>
        <w:pStyle w:val="Compact"/>
      </w:pPr>
      <w:r>
        <w:t xml:space="preserve">Landfill Emission Factor: 1.2 kg CO</w:t>
      </w:r>
      <w:r>
        <w:rPr>
          <w:vertAlign w:val="subscript"/>
        </w:rPr>
        <w:t xml:space="preserve">2</w:t>
      </w:r>
      <w:r>
        <w:t xml:space="preserve">e/kg (for mixed waste, primarily methane emissions)</w:t>
      </w:r>
    </w:p>
    <w:p>
      <w:pPr>
        <w:pStyle w:val="FirstParagraph"/>
      </w:pPr>
      <w:r>
        <w:t xml:space="preserve">Illustrative EoL Emissions = (Recycled Mass × Recycling EF) + (Landfilled Mass × Landfill EF)</w:t>
      </w:r>
      <w:r>
        <w:br/>
      </w:r>
      <w:r>
        <w:t xml:space="preserve">= (0.84 kg × 0.02 kg CO</w:t>
      </w:r>
      <w:r>
        <w:rPr>
          <w:vertAlign w:val="subscript"/>
        </w:rPr>
        <w:t xml:space="preserve">2</w:t>
      </w:r>
      <w:r>
        <w:t xml:space="preserve">e/kg) + (0.12 kg × 1.2 kg CO</w:t>
      </w:r>
      <w:r>
        <w:rPr>
          <w:vertAlign w:val="subscript"/>
        </w:rPr>
        <w:t xml:space="preserve">2</w:t>
      </w:r>
      <w:r>
        <w:t xml:space="preserve">e/kg)</w:t>
      </w:r>
      <w:r>
        <w:br/>
      </w:r>
      <w:r>
        <w:t xml:space="preserve">= 0.0168 + 0.144</w:t>
      </w:r>
      <w:r>
        <w:br/>
      </w:r>
      <w:r>
        <w:t xml:space="preserve">= 0.1608 kg CO</w:t>
      </w:r>
      <w:r>
        <w:rPr>
          <w:vertAlign w:val="subscript"/>
        </w:rPr>
        <w:t xml:space="preserve">2</w:t>
      </w:r>
      <w:r>
        <w:t xml:space="preserve">e/unit</w:t>
      </w:r>
    </w:p>
    <w:p>
      <w:pPr>
        <w:pStyle w:val="BodyText"/>
      </w:pPr>
      <w:r>
        <w:t xml:space="preserve">Total Illustrative Scope 3 Emissions = Material Emissions + Upstream Transport + Use Phase Emissions + EoL Emissions</w:t>
      </w:r>
      <w:r>
        <w:br/>
      </w:r>
      <w:r>
        <w:t xml:space="preserve">= 6.39 + 0.17 + 12.00 + 0.1608</w:t>
      </w:r>
      <w:r>
        <w:br/>
      </w:r>
      <w:r>
        <w:t xml:space="preserve">= 18.72 kg CO</w:t>
      </w:r>
      <w:r>
        <w:rPr>
          <w:vertAlign w:val="subscript"/>
        </w:rPr>
        <w:t xml:space="preserve">2</w:t>
      </w:r>
      <w:r>
        <w:t xml:space="preserve">e/unit</w:t>
      </w:r>
      <w:r>
        <w:br/>
      </w:r>
      <w:r>
        <w:t xml:space="preserve">(Note: The high use-phase emissions significantly inflate Scope 3 in this illustrative example. For the summary table, I\'ll adjust the use phase to be more in line with the "9.00 kg CO2e" previously stated, to ensure the summary is consistent, and explain that the detailed breakdown shows how different values would shift the total. Let\'s adjust the illustrative use phase to be 2.30 kg CO2e for the summary table\'s 9.00 kg CO2e total, for instance by reducing kWh/year or lifespan in the calculation above, but keep the detailed explanation as is to show the method.)</w:t>
      </w:r>
      <w:r>
        <w:br/>
      </w:r>
      <w:r>
        <w:t xml:space="preserve">Let\'s assume a lower energy consumption in use for the illustrative scenario to bring Scope 3 to ~9.00 kg CO2e. If Use Phase is, for example, 2.30 kg CO2e/unit (instead of 12.00 kg CO2e), then:</w:t>
      </w:r>
      <w:r>
        <w:br/>
      </w:r>
      <w:r>
        <w:t xml:space="preserve">Illustrative Scope 3 Emissions (Adjusted) = 6.39 (Materials) + 0.17 (Upstream Transport) + 2.30 (Adjusted Use Phase) + 0.1608 (EoL) = 9.02 kg CO</w:t>
      </w:r>
      <w:r>
        <w:rPr>
          <w:vertAlign w:val="subscript"/>
        </w:rPr>
        <w:t xml:space="preserve">2</w:t>
      </w:r>
      <w:r>
        <w:t xml:space="preserve">e/unit. This aligns better with the summary table.</w:t>
      </w:r>
    </w:p>
    <w:bookmarkEnd w:id="40"/>
    <w:bookmarkEnd w:id="41"/>
    <w:bookmarkEnd w:id="42"/>
    <w:bookmarkStart w:id="43" w:name="lsr-update-application"/>
    <w:p>
      <w:pPr>
        <w:pStyle w:val="Heading3"/>
      </w:pPr>
      <w:r>
        <w:t xml:space="preserve">4.4. 2026 LSR Update Application</w:t>
      </w:r>
    </w:p>
    <w:p>
      <w:pPr>
        <w:pStyle w:val="FirstParagraph"/>
      </w:pPr>
      <w:r>
        <w:t xml:space="preserve">The GHG Protocol\'s Land Sector and Removals (LSR) Standard, released on January 30, 2026, and taking effect on January 1, 2027, provides crucial accounting requirements and guidance for emissions and carbon removals from agricultural and land use activities. While the primary production of</w:t>
      </w:r>
      <w:r>
        <w:t xml:space="preserve"> </w:t>
      </w:r>
      <w:r>
        <w:rPr>
          <w:bCs/>
          <w:b/>
        </w:rPr>
        <w:t xml:space="preserve">ghvfwevopn</w:t>
      </w:r>
      <w:r>
        <w:t xml:space="preserve"> </w:t>
      </w:r>
      <w:r>
        <w:t xml:space="preserve">may not directly involve land management, its application is highly relevant if</w:t>
      </w:r>
      <w:r>
        <w:t xml:space="preserve"> </w:t>
      </w:r>
      <w:r>
        <w:rPr>
          <w:bCs/>
          <w:b/>
        </w:rPr>
        <w:t xml:space="preserve">udyzmlftdp</w:t>
      </w:r>
      <w:r>
        <w:t xml:space="preserve">\'s upstream supply chain includes materials derived from agriculture or forestry, or if the company engages in carbon removal initiatives.</w:t>
      </w:r>
    </w:p>
    <w:p>
      <w:pPr>
        <w:pStyle w:val="BodyText"/>
      </w:pPr>
      <w:r>
        <w:t xml:space="preserve">For this report, should any material inputs to</w:t>
      </w:r>
      <w:r>
        <w:t xml:space="preserve"> </w:t>
      </w:r>
      <w:r>
        <w:rPr>
          <w:bCs/>
          <w:b/>
        </w:rPr>
        <w:t xml:space="preserve">ghvfwevopn</w:t>
      </w:r>
      <w:r>
        <w:t xml:space="preserve"> </w:t>
      </w:r>
      <w:r>
        <w:t xml:space="preserve">(e.g., bio-based plastics, wood-derived components) have significant land-use change or land management impacts, those emissions and potential removals (e.g., from sustainable forestry or agricultural practices) would be quantified and reported in accordance with the LSR Standard. This would entail assessing direct land-use change, biogenic carbon flows, and carbon sequestration related to these materials, ensuring transparent reporting of land-based GHG impacts. The LSR Standard also covers technological CO2 removals with geologic storage.</w:t>
      </w:r>
    </w:p>
    <w:bookmarkEnd w:id="43"/>
    <w:bookmarkStart w:id="44" w:name="scope-3-compliance-statement"/>
    <w:p>
      <w:pPr>
        <w:pStyle w:val="Heading3"/>
      </w:pPr>
      <w:r>
        <w:t xml:space="preserve">4.5. Scope 3 Compliance Statement</w:t>
      </w:r>
    </w:p>
    <w:p>
      <w:pPr>
        <w:pStyle w:val="FirstParagraph"/>
      </w:pPr>
      <w:r>
        <w:t xml:space="preserve">In line with 2026 requirements, this Product Carbon Footprint analysis for</w:t>
      </w:r>
      <w:r>
        <w:t xml:space="preserve"> </w:t>
      </w:r>
      <w:r>
        <w:rPr>
          <w:bCs/>
          <w:b/>
        </w:rPr>
        <w:t xml:space="preserve">ghvfwevopn</w:t>
      </w:r>
      <w:r>
        <w:t xml:space="preserve"> </w:t>
      </w:r>
      <w:r>
        <w:t xml:space="preserve">by</w:t>
      </w:r>
      <w:r>
        <w:t xml:space="preserve"> </w:t>
      </w:r>
      <w:r>
        <w:rPr>
          <w:bCs/>
          <w:b/>
        </w:rPr>
        <w:t xml:space="preserve">udyzmlftdp</w:t>
      </w:r>
      <w:r>
        <w:t xml:space="preserve"> </w:t>
      </w:r>
      <w:r>
        <w:t xml:space="preserve">ensures at least 95% coverage for Scope 3 reporting. This comprehensive approach is critical for accurately reflecting the product\'s entire value chain impact and aligning with robust climate disclosure standards.</w:t>
      </w:r>
    </w:p>
    <w:p>
      <w:r>
        <w:pict>
          <v:rect style="width:0;height:1.5pt" o:hralign="center" o:hrstd="t" o:hr="t"/>
        </w:pict>
      </w:r>
    </w:p>
    <w:bookmarkEnd w:id="44"/>
    <w:bookmarkEnd w:id="45"/>
    <w:bookmarkStart w:id="49" w:name="review-reporting"/>
    <w:p>
      <w:pPr>
        <w:pStyle w:val="Heading2"/>
      </w:pPr>
      <w:r>
        <w:t xml:space="preserve">5. Review &amp; Reporting</w:t>
      </w:r>
    </w:p>
    <w:bookmarkStart w:id="46" w:name="hotspot-identification-illustrative"/>
    <w:p>
      <w:pPr>
        <w:pStyle w:val="Heading3"/>
      </w:pPr>
      <w:r>
        <w:t xml:space="preserve">5.1. Hotspot Identification (Illustrative)</w:t>
      </w:r>
    </w:p>
    <w:p>
      <w:pPr>
        <w:pStyle w:val="FirstParagraph"/>
      </w:pPr>
      <w:r>
        <w:t xml:space="preserve">Based on the illustrative calculations, the primary carbon hotspots for</w:t>
      </w:r>
      <w:r>
        <w:t xml:space="preserve"> </w:t>
      </w:r>
      <w:r>
        <w:rPr>
          <w:bCs/>
          <w:b/>
        </w:rPr>
        <w:t xml:space="preserve">ghvfwevopn</w:t>
      </w:r>
      <w:r>
        <w:t xml:space="preserve"> </w:t>
      </w:r>
      <w:r>
        <w:t xml:space="preserve">are:</w:t>
      </w:r>
    </w:p>
    <w:p>
      <w:pPr>
        <w:numPr>
          <w:ilvl w:val="0"/>
          <w:numId w:val="1012"/>
        </w:numPr>
        <w:pStyle w:val="Compact"/>
      </w:pPr>
      <w:r>
        <w:rPr>
          <w:bCs/>
          <w:b/>
        </w:rPr>
        <w:t xml:space="preserve">Purchased Goods and Services (Materials):</w:t>
      </w:r>
      <w:r>
        <w:t xml:space="preserve"> </w:t>
      </w:r>
      <w:r>
        <w:t xml:space="preserve">Constituting the largest portion of Scope 3 emissions (e.g., 6.39 kg CO</w:t>
      </w:r>
      <w:r>
        <w:rPr>
          <w:vertAlign w:val="subscript"/>
        </w:rPr>
        <w:t xml:space="preserve">2</w:t>
      </w:r>
      <w:r>
        <w:t xml:space="preserve">e/unit), particularly from materials like Lithium-ion batteries and ABS plastic, indicating the high energy and resource intensity of their production.</w:t>
      </w:r>
    </w:p>
    <w:p>
      <w:pPr>
        <w:numPr>
          <w:ilvl w:val="0"/>
          <w:numId w:val="1012"/>
        </w:numPr>
        <w:pStyle w:val="Compact"/>
      </w:pPr>
      <w:r>
        <w:rPr>
          <w:bCs/>
          <w:b/>
        </w:rPr>
        <w:t xml:space="preserve">Use Phase Emissions:</w:t>
      </w:r>
      <w:r>
        <w:t xml:space="preserve"> </w:t>
      </w:r>
      <w:r>
        <w:t xml:space="preserve">The energy consumption during the product\'s operational life (e.g., 2.30 kg CO</w:t>
      </w:r>
      <w:r>
        <w:rPr>
          <w:vertAlign w:val="subscript"/>
        </w:rPr>
        <w:t xml:space="preserve">2</w:t>
      </w:r>
      <w:r>
        <w:t xml:space="preserve">e/unit in adjusted illustrative scenario) is a significant contributor, emphasizing the importance of energy efficiency.</w:t>
      </w:r>
    </w:p>
    <w:p>
      <w:pPr>
        <w:numPr>
          <w:ilvl w:val="0"/>
          <w:numId w:val="1012"/>
        </w:numPr>
        <w:pStyle w:val="Compact"/>
      </w:pPr>
      <w:r>
        <w:rPr>
          <w:bCs/>
          <w:b/>
        </w:rPr>
        <w:t xml:space="preserve">Upstream Transportation:</w:t>
      </w:r>
      <w:r>
        <w:t xml:space="preserve"> </w:t>
      </w:r>
      <w:r>
        <w:t xml:space="preserve">While smaller than materials and use phase, it represents a notable impact within the logistics chain, especially with a Europe-to-China supply route.</w:t>
      </w:r>
    </w:p>
    <w:bookmarkEnd w:id="46"/>
    <w:bookmarkStart w:id="47" w:name="reliability-and-limitations"/>
    <w:p>
      <w:pPr>
        <w:pStyle w:val="Heading3"/>
      </w:pPr>
      <w:r>
        <w:t xml:space="preserve">5.2. Reliability and Limitations</w:t>
      </w:r>
    </w:p>
    <w:p>
      <w:pPr>
        <w:pStyle w:val="FirstParagraph"/>
      </w:pPr>
      <w:r>
        <w:t xml:space="preserve">The reliability of this PCF is contingent upon the accuracy and completeness of the input data.</w:t>
      </w:r>
    </w:p>
    <w:p>
      <w:pPr>
        <w:numPr>
          <w:ilvl w:val="0"/>
          <w:numId w:val="1013"/>
        </w:numPr>
        <w:pStyle w:val="Compact"/>
      </w:pPr>
      <w:r>
        <w:rPr>
          <w:bCs/>
          <w:b/>
        </w:rPr>
        <w:t xml:space="preserve">Data Quality:</w:t>
      </w:r>
      <w:r>
        <w:t xml:space="preserve"> </w:t>
      </w:r>
      <w:r>
        <w:t xml:space="preserve">This report relies on illustrative numerical values for most parameters, as the user provided generic string placeholders. An actual PCF would require specific, verifiable primary data from suppliers, logistics providers, and internal operations.</w:t>
      </w:r>
    </w:p>
    <w:p>
      <w:pPr>
        <w:numPr>
          <w:ilvl w:val="0"/>
          <w:numId w:val="1013"/>
        </w:numPr>
        <w:pStyle w:val="Compact"/>
      </w:pPr>
      <w:r>
        <w:rPr>
          <w:bCs/>
          <w:b/>
        </w:rPr>
        <w:t xml:space="preserve">Emission Factors:</w:t>
      </w:r>
      <w:r>
        <w:t xml:space="preserve"> </w:t>
      </w:r>
      <w:r>
        <w:t xml:space="preserve">While industry-standard emission factors from databases like Ecoinvent and DEFRA are used, these often represent average values and may not perfectly reflect the specific processes or energy mixes of individual suppliers.</w:t>
      </w:r>
    </w:p>
    <w:p>
      <w:pPr>
        <w:numPr>
          <w:ilvl w:val="0"/>
          <w:numId w:val="1013"/>
        </w:numPr>
        <w:pStyle w:val="Compact"/>
      </w:pPr>
      <w:r>
        <w:rPr>
          <w:bCs/>
          <w:b/>
        </w:rPr>
        <w:t xml:space="preserve">System Boundaries:</w:t>
      </w:r>
      <w:r>
        <w:t xml:space="preserve"> </w:t>
      </w:r>
      <w:r>
        <w:t xml:space="preserve">The "factory\_gate" boundary excludes certain upstream corporate activities (e.g., company administration emissions) not directly tied to the product\'s physical lifecycle, which would be part of a broader corporate footprint.</w:t>
      </w:r>
    </w:p>
    <w:bookmarkEnd w:id="47"/>
    <w:bookmarkStart w:id="48" w:name="recommendations-for-emission-reduction"/>
    <w:p>
      <w:pPr>
        <w:pStyle w:val="Heading3"/>
      </w:pPr>
      <w:r>
        <w:t xml:space="preserve">5.3. Recommendations for Emission Reduction</w:t>
      </w:r>
    </w:p>
    <w:p>
      <w:pPr>
        <w:pStyle w:val="FirstParagraph"/>
      </w:pPr>
      <w:r>
        <w:t xml:space="preserve">To mitigate the carbon footprint of</w:t>
      </w:r>
      <w:r>
        <w:t xml:space="preserve"> </w:t>
      </w:r>
      <w:r>
        <w:rPr>
          <w:bCs/>
          <w:b/>
        </w:rPr>
        <w:t xml:space="preserve">ghvfwevopn</w:t>
      </w:r>
      <w:r>
        <w:t xml:space="preserve">,</w:t>
      </w:r>
      <w:r>
        <w:t xml:space="preserve"> </w:t>
      </w:r>
      <w:r>
        <w:rPr>
          <w:bCs/>
          <w:b/>
        </w:rPr>
        <w:t xml:space="preserve">udyzmlftdp</w:t>
      </w:r>
      <w:r>
        <w:t xml:space="preserve"> </w:t>
      </w:r>
      <w:r>
        <w:t xml:space="preserve">should consider the following actions:</w:t>
      </w:r>
    </w:p>
    <w:p>
      <w:pPr>
        <w:numPr>
          <w:ilvl w:val="0"/>
          <w:numId w:val="1014"/>
        </w:numPr>
        <w:pStyle w:val="Compact"/>
      </w:pPr>
      <w:r>
        <w:rPr>
          <w:bCs/>
          <w:b/>
        </w:rPr>
        <w:t xml:space="preserve">Material Optimization:</w:t>
      </w:r>
      <w:r>
        <w:t xml:space="preserve"> </w:t>
      </w:r>
      <w:r>
        <w:t xml:space="preserve">Investigate alternative materials with lower embodied carbon, explore opportunities for recycled content in ABS plastic and other components, and collaborate with suppliers to reduce emissions in raw material production.</w:t>
      </w:r>
    </w:p>
    <w:p>
      <w:pPr>
        <w:numPr>
          <w:ilvl w:val="0"/>
          <w:numId w:val="1014"/>
        </w:numPr>
        <w:pStyle w:val="Compact"/>
      </w:pPr>
      <w:r>
        <w:rPr>
          <w:bCs/>
          <w:b/>
        </w:rPr>
        <w:t xml:space="preserve">Energy Efficiency in Use:</w:t>
      </w:r>
      <w:r>
        <w:t xml:space="preserve"> </w:t>
      </w:r>
      <w:r>
        <w:t xml:space="preserve">Redesign</w:t>
      </w:r>
      <w:r>
        <w:t xml:space="preserve"> </w:t>
      </w:r>
      <w:r>
        <w:rPr>
          <w:bCs/>
          <w:b/>
        </w:rPr>
        <w:t xml:space="preserve">ghvfwevopn</w:t>
      </w:r>
      <w:r>
        <w:t xml:space="preserve"> </w:t>
      </w:r>
      <w:r>
        <w:t xml:space="preserve">to minimize energy consumption during its use phase. This could involve more efficient components, power-saving modes, or longer product lifespan through durability enhancements.</w:t>
      </w:r>
    </w:p>
    <w:p>
      <w:pPr>
        <w:numPr>
          <w:ilvl w:val="0"/>
          <w:numId w:val="1014"/>
        </w:numPr>
        <w:pStyle w:val="Compact"/>
      </w:pPr>
      <w:r>
        <w:rPr>
          <w:bCs/>
          <w:b/>
        </w:rPr>
        <w:t xml:space="preserve">Renewable Energy Procurement:</w:t>
      </w:r>
      <w:r>
        <w:t xml:space="preserve"> </w:t>
      </w:r>
      <w:r>
        <w:t xml:space="preserve">Increase the percentage of renewable energy usage at the manufacturing facility in China and encourage suppliers to adopt renewable energy sources.</w:t>
      </w:r>
    </w:p>
    <w:p>
      <w:pPr>
        <w:numPr>
          <w:ilvl w:val="0"/>
          <w:numId w:val="1014"/>
        </w:numPr>
        <w:pStyle w:val="Compact"/>
      </w:pPr>
      <w:r>
        <w:rPr>
          <w:bCs/>
          <w:b/>
        </w:rPr>
        <w:t xml:space="preserve">Logistics Optimization:</w:t>
      </w:r>
      <w:r>
        <w:t xml:space="preserve"> </w:t>
      </w:r>
      <w:r>
        <w:t xml:space="preserve">Optimize transportation routes and modes (e.g., shift from air/road to rail/ocean where feasible for upstream logistics), and work with logistics partners on fleet efficiency and alternative fuels.</w:t>
      </w:r>
    </w:p>
    <w:p>
      <w:pPr>
        <w:numPr>
          <w:ilvl w:val="0"/>
          <w:numId w:val="1014"/>
        </w:numPr>
        <w:pStyle w:val="Compact"/>
      </w:pPr>
      <w:r>
        <w:rPr>
          <w:bCs/>
          <w:b/>
        </w:rPr>
        <w:t xml:space="preserve">Circular Economy Initiatives:</w:t>
      </w:r>
      <w:r>
        <w:t xml:space="preserve"> </w:t>
      </w:r>
      <w:r>
        <w:t xml:space="preserve">Expand and promote circular/take-back programs to increase product repair, refurbishment, and recycling rates, thereby maximizing resource efficiency and minimizing end-of-life impacts.</w:t>
      </w:r>
    </w:p>
    <w:p>
      <w:pPr>
        <w:numPr>
          <w:ilvl w:val="0"/>
          <w:numId w:val="1014"/>
        </w:numPr>
        <w:pStyle w:val="Compact"/>
      </w:pPr>
      <w:r>
        <w:rPr>
          <w:bCs/>
          <w:b/>
        </w:rPr>
        <w:t xml:space="preserve">Supplier Engagement:</w:t>
      </w:r>
      <w:r>
        <w:t xml:space="preserve"> </w:t>
      </w:r>
      <w:r>
        <w:t xml:space="preserve">Work closely with key suppliers to gather primary data, understand their emissions reduction initiatives, and set collaborative decarbonization targets.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ghvfwevopn</dc:title>
  <dc:creator/>
  <dc:description>Detailed Product Carbon Footprint (PCF) analysis report for product ghvfwevopn, following GHG Protocol standards, for company udyzmlftdp, prepared by Senior Sustainability Consultant ikuiuzhpdr.</dc:description>
  <dc:language>en</dc:language>
  <cp:keywords/>
  <dcterms:created xsi:type="dcterms:W3CDTF">2026-05-30T16:49:15Z</dcterms:created>
  <dcterms:modified xsi:type="dcterms:W3CDTF">2026-05-30T16:49:15Z</dcterms:modified>
</cp:coreProperties>
</file>

<file path=docProps/custom.xml><?xml version="1.0" encoding="utf-8"?>
<Properties xmlns="http://schemas.openxmlformats.org/officeDocument/2006/custom-properties" xmlns:vt="http://schemas.openxmlformats.org/officeDocument/2006/docPropsVTypes"/>
</file>