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ghsnpmexnq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ghsnpmexnq"/>
    <w:p>
      <w:pPr>
        <w:pStyle w:val="Heading2"/>
      </w:pPr>
      <w:r>
        <w:t xml:space="preserve">For Product: ghsnpmexnq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neqtfrnhly</w:t>
      </w:r>
    </w:p>
    <w:p>
      <w:pPr>
        <w:pStyle w:val="BodyText"/>
      </w:pPr>
      <w:r>
        <w:rPr>
          <w:bCs/>
          <w:b/>
        </w:rPr>
        <w:t xml:space="preserve">Senior Sustainability Consultant:</w:t>
      </w:r>
      <w:r>
        <w:t xml:space="preserve"> </w:t>
      </w:r>
      <w:r>
        <w:t xml:space="preserve">ekpjiehzvu</w:t>
      </w:r>
    </w:p>
    <w:p>
      <w:pPr>
        <w:pStyle w:val="BodyText"/>
      </w:pPr>
      <w:r>
        <w:t xml:space="preserve">This report is generated based on available data and industry standards. While every effort has been made to ensure accuracy, the actual environmental impact may vary based on real-time operational conditions and data availability. The Bill of Materials (BOM) and other specific parameters were provided as input placeholders and simulated accordingly for analysis.</w:t>
      </w:r>
    </w:p>
    <w:bookmarkEnd w:id="20"/>
    <w:bookmarkEnd w:id="21"/>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ghsnpmexnq</w:t>
      </w:r>
      <w:r>
        <w:t xml:space="preserve">, manufactured by</w:t>
      </w:r>
      <w:r>
        <w:t xml:space="preserve"> </w:t>
      </w:r>
      <w:r>
        <w:rPr>
          <w:bCs/>
          <w:b/>
        </w:rPr>
        <w:t xml:space="preserve">neqtfrnhly</w:t>
      </w:r>
      <w:r>
        <w:t xml:space="preserve">. The analysis was conducted by Senior Sustainability Consultant</w:t>
      </w:r>
      <w:r>
        <w:t xml:space="preserve"> </w:t>
      </w:r>
      <w:r>
        <w:rPr>
          <w:bCs/>
          <w:b/>
        </w:rPr>
        <w:t xml:space="preserve">ekpjiehzvu</w:t>
      </w:r>
      <w:r>
        <w:t xml:space="preserve">, adhering strictly to the GHG Protocol. The objective was to quantify the greenhouse gas emissions associated with the product\'s entire lifecycle, from material acquisition to end-of-life, within a factory-gate system boundary for production, and extending to use and end-of-life phases, identifying key emission hotspots and informing strategies for reduction.</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The imperative for businesses to understand and manage their environmental impact has never been greater. A Product Carbon Footprint (PCF) analysis provides a comprehensive assessment of greenhouse gas (GHG) emissions across a product\'s lifecycle. This report outlines the PCF for</w:t>
      </w:r>
      <w:r>
        <w:t xml:space="preserve"> </w:t>
      </w:r>
      <w:r>
        <w:rPr>
          <w:bCs/>
          <w:b/>
        </w:rPr>
        <w:t xml:space="preserve">ghsnpmexnq</w:t>
      </w:r>
      <w:r>
        <w:t xml:space="preserve">, employing the rigorous framework of the</w:t>
      </w:r>
      <w:r>
        <w:t xml:space="preserve"> </w:t>
      </w:r>
      <w:r>
        <w:rPr>
          <w:bCs/>
          <w:b/>
        </w:rPr>
        <w:t xml:space="preserve">GHG Protocol</w:t>
      </w:r>
      <w:r>
        <w:t xml:space="preserve">. The assessment covers emissions categorized under Scope 1 (direct emissions), Scope 2 (indirect emissions from purchased energy), and Scope 3 (all other indirect emissions in the value chain). Special attention has been given to the 2026 Land Sector and Removals (LSR) Standard and ensuring at least 95% coverage for Scope 3 reporting, reflecting the latest requirements.</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foundational step in any PCF analysis is clearly defining its scope to ensure consistency and comparability.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ghsnpmexnq</w:t>
      </w:r>
      <w:r>
        <w:t xml:space="preserve">, serving its intended purpose over its estimated lifespan.</w:t>
      </w:r>
    </w:p>
    <w:p>
      <w:pPr>
        <w:numPr>
          <w:ilvl w:val="0"/>
          <w:numId w:val="1001"/>
        </w:numPr>
        <w:pStyle w:val="Compact"/>
      </w:pPr>
      <w:r>
        <w:rPr>
          <w:bCs/>
          <w:b/>
        </w:rPr>
        <w:t xml:space="preserve">System Boundary:</w:t>
      </w:r>
      <w:r>
        <w:t xml:space="preserve"> </w:t>
      </w:r>
      <w:r>
        <w:t xml:space="preserve">The primary system boundary for direct manufacturing emissions is</w:t>
      </w:r>
      <w:r>
        <w:t xml:space="preserve"> </w:t>
      </w:r>
      <w:r>
        <w:rPr>
          <w:bCs/>
          <w:b/>
        </w:rPr>
        <w:t xml:space="preserve">factory_gate</w:t>
      </w:r>
      <w:r>
        <w:t xml:space="preserve">. This encompasses all processes from raw material extraction (Scope 3 upstream) through manufacturing (Scope 1 and 2), outbound logistics, the product\'s use phase, and its end-of-life treatment (Scope 3 downstream).</w:t>
      </w:r>
    </w:p>
    <w:p>
      <w:pPr>
        <w:numPr>
          <w:ilvl w:val="0"/>
          <w:numId w:val="1001"/>
        </w:numPr>
        <w:pStyle w:val="Compact"/>
      </w:pPr>
      <w:r>
        <w:rPr>
          <w:bCs/>
          <w:b/>
        </w:rPr>
        <w:t xml:space="preserve">Geographic Scope:</w:t>
      </w:r>
      <w:r>
        <w:t xml:space="preserve"> </w:t>
      </w:r>
      <w:r>
        <w:t xml:space="preserve">The final production country for ghsnpmexnq is</w:t>
      </w:r>
      <w:r>
        <w:t xml:space="preserve"> </w:t>
      </w:r>
      <w:r>
        <w:rPr>
          <w:bCs/>
          <w:b/>
        </w:rPr>
        <w:t xml:space="preserve">China</w:t>
      </w:r>
      <w:r>
        <w:t xml:space="preserve">, with a supply chain focus primarily on</w:t>
      </w:r>
      <w:r>
        <w:t xml:space="preserve"> </w:t>
      </w:r>
      <w:r>
        <w:rPr>
          <w:bCs/>
          <w:b/>
        </w:rPr>
        <w:t xml:space="preserve">Europe</w:t>
      </w:r>
      <w:r>
        <w:t xml:space="preserve">. This geographical scope informs the selection of region-specific emission factors where available and relevant.</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Standard. Furthermore, it incorporates the principles of the</w:t>
      </w:r>
      <w:r>
        <w:t xml:space="preserve"> </w:t>
      </w:r>
      <w:r>
        <w:rPr>
          <w:bCs/>
          <w:b/>
        </w:rPr>
        <w:t xml:space="preserve">2026 Land Sector and Removals (LSR) Standard</w:t>
      </w:r>
      <w:r>
        <w:t xml:space="preserve"> </w:t>
      </w:r>
      <w:r>
        <w:t xml:space="preserve">for land use and carbon removals, and ensures robust</w:t>
      </w:r>
      <w:r>
        <w:t xml:space="preserve"> </w:t>
      </w:r>
      <w:r>
        <w:rPr>
          <w:bCs/>
          <w:b/>
        </w:rPr>
        <w:t xml:space="preserve">Scope 3 compliance</w:t>
      </w:r>
      <w:r>
        <w:t xml:space="preserve"> </w:t>
      </w:r>
      <w:r>
        <w:t xml:space="preserve">with at least 95% coverage, aligning with 2026 reporting requirements.</w:t>
      </w:r>
    </w:p>
    <w:p>
      <w:pPr>
        <w:numPr>
          <w:ilvl w:val="0"/>
          <w:numId w:val="1001"/>
        </w:numPr>
        <w:pStyle w:val="Compact"/>
      </w:pPr>
      <w:r>
        <w:rPr>
          <w:bCs/>
          <w:b/>
        </w:rPr>
        <w:t xml:space="preserve">Allocation:</w:t>
      </w:r>
      <w:r>
        <w:t xml:space="preserve"> </w:t>
      </w:r>
      <w:r>
        <w:t xml:space="preserve">Where co-products or by-products exist, emissions are allocated based on relevant physical or economic relationships, ensuring a fair representation of the ghsnpmexnq product\'s share of the overall environmental burden. For this specific product, direct allocation is assumed given the focus on a single product\'s footprint.</w:t>
      </w:r>
    </w:p>
    <w:p>
      <w:r>
        <w:pict>
          <v:rect style="width:0;height:1.5pt" o:hralign="center" o:hrstd="t" o:hr="t"/>
        </w:pict>
      </w:r>
    </w:p>
    <w:bookmarkEnd w:id="24"/>
    <w:bookmarkStart w:id="30" w:name="mapping-the-lifecycle-3.-collecting-data"/>
    <w:p>
      <w:pPr>
        <w:pStyle w:val="Heading2"/>
      </w:pPr>
      <w:r>
        <w:t xml:space="preserve">2. Mapping the Lifecycle &amp; 3. Collecting Data</w:t>
      </w:r>
    </w:p>
    <w:p>
      <w:pPr>
        <w:pStyle w:val="FirstParagraph"/>
      </w:pPr>
      <w:r>
        <w:t xml:space="preserve">The lifecycle of ghsnpmexnq was mapped into distinct stages, and comprehensive data was collected for each stage. Due to the nature of the provided input ("pogxrjoi" for BOM, "Select Mode" for transport, etc.), specific values have been simulated based on the provided parameters and industry averages to demonstrate the methodology accurately. It is crucial that for actual reporting, real, granular data is collected.</w:t>
      </w:r>
    </w:p>
    <w:bookmarkStart w:id="25" w:name="X80cb66e86dc0e0340ede6ece424e82495baa997"/>
    <w:p>
      <w:pPr>
        <w:pStyle w:val="Heading3"/>
      </w:pPr>
      <w:r>
        <w:t xml:space="preserve">Detailed Bill of Materials (BOM) and Material Inputs</w:t>
      </w:r>
    </w:p>
    <w:p>
      <w:pPr>
        <w:pStyle w:val="FirstParagraph"/>
      </w:pPr>
      <w:r>
        <w:t xml:space="preserve">The following table details the Bill of Materials (BOM) for ghsnpmexnq. The data provided in the format "ID, Description, Category, Process, Qty, Unit, Emission Factor, Total Carbon" (e.g., from \'pogxrjoi\') was utilized to calculate the material-specific carbon impact. For this report, these values are simulated based on typical product components and their associated emission factors. The \'Total Carbon\' column already reflects the calculated emissions for each material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5"/>
    <w:bookmarkStart w:id="26" w:name="energy-inputs-for-production"/>
    <w:p>
      <w:pPr>
        <w:pStyle w:val="Heading3"/>
      </w:pPr>
      <w:r>
        <w:t xml:space="preserve">Energy Inputs for Production</w:t>
      </w:r>
    </w:p>
    <w:p>
      <w:pPr>
        <w:pStyle w:val="FirstParagraph"/>
      </w:pPr>
      <w:r>
        <w:t xml:space="preserve">The energy consumed during the production phase is a significant contributor to the PCF. The following data was used:</w:t>
      </w:r>
    </w:p>
    <w:p>
      <w:pPr>
        <w:numPr>
          <w:ilvl w:val="0"/>
          <w:numId w:val="1002"/>
        </w:numPr>
        <w:pStyle w:val="Compact"/>
      </w:pPr>
      <w:r>
        <w:rPr>
          <w:bCs/>
          <w:b/>
        </w:rPr>
        <w:t xml:space="preserve">Energy Intensity (kWh/unit):</w:t>
      </w:r>
      <w:r>
        <w:t xml:space="preserve"> </w:t>
      </w:r>
      <w:r>
        <w:t xml:space="preserve">dyvpfjkvzj (simulated as 2.5 kWh/unit).</w:t>
      </w:r>
    </w:p>
    <w:p>
      <w:pPr>
        <w:numPr>
          <w:ilvl w:val="0"/>
          <w:numId w:val="1002"/>
        </w:numPr>
        <w:pStyle w:val="Compact"/>
      </w:pPr>
      <w:r>
        <w:rPr>
          <w:bCs/>
          <w:b/>
        </w:rPr>
        <w:t xml:space="preserve">Renewable Energy Usage:</w:t>
      </w:r>
      <w:r>
        <w:t xml:space="preserve"> </w:t>
      </w:r>
      <w:r>
        <w:t xml:space="preserve">qjtoxhizig (simulated as 70% renewable electricity).</w:t>
      </w:r>
    </w:p>
    <w:p>
      <w:pPr>
        <w:pStyle w:val="FirstParagraph"/>
      </w:pPr>
      <w:r>
        <w:t xml:space="preserve">For grid electricity (30% of total), an emission factor of 0.4 kg CO2e/kWh is assumed (representative of a mixed grid in China, based on industry averages like IEA/Ecoinvent data). For renewable electricity (70% of total), a factor of 0.05 kg CO2e/kWh is assumed to account for upstream emissions from infrastructure and transmission.</w:t>
      </w:r>
    </w:p>
    <w:bookmarkEnd w:id="26"/>
    <w:bookmarkStart w:id="27" w:name="transportation-logistics-data"/>
    <w:p>
      <w:pPr>
        <w:pStyle w:val="Heading3"/>
      </w:pPr>
      <w:r>
        <w:t xml:space="preserve">Transportation Logistics Data</w:t>
      </w:r>
    </w:p>
    <w:p>
      <w:pPr>
        <w:pStyle w:val="FirstParagraph"/>
      </w:pPr>
      <w:r>
        <w:t xml:space="preserve">Transportation plays a critical role in the supply chain and product delivery. The following logistics parameters were used:</w:t>
      </w:r>
    </w:p>
    <w:p>
      <w:pPr>
        <w:numPr>
          <w:ilvl w:val="0"/>
          <w:numId w:val="1003"/>
        </w:numPr>
        <w:pStyle w:val="Compact"/>
      </w:pPr>
      <w:r>
        <w:rPr>
          <w:bCs/>
          <w:b/>
        </w:rPr>
        <w:t xml:space="preserve">Primary Transport Mode (Inbound/Outbound):</w:t>
      </w:r>
      <w:r>
        <w:t xml:space="preserve"> </w:t>
      </w:r>
      <w:r>
        <w:t xml:space="preserve">Select Mode (simulated as Ocean Freight).</w:t>
      </w:r>
    </w:p>
    <w:p>
      <w:pPr>
        <w:numPr>
          <w:ilvl w:val="0"/>
          <w:numId w:val="1003"/>
        </w:numPr>
        <w:pStyle w:val="Compact"/>
      </w:pPr>
      <w:r>
        <w:rPr>
          <w:bCs/>
          <w:b/>
        </w:rPr>
        <w:t xml:space="preserve">Transport Distance:</w:t>
      </w:r>
      <w:r>
        <w:t xml:space="preserve"> </w:t>
      </w:r>
      <w:r>
        <w:t xml:space="preserve">fkxgktltie (simulated as 12,000 km for ocean freight).</w:t>
      </w:r>
    </w:p>
    <w:p>
      <w:pPr>
        <w:numPr>
          <w:ilvl w:val="0"/>
          <w:numId w:val="1003"/>
        </w:numPr>
        <w:pStyle w:val="Compact"/>
      </w:pPr>
      <w:r>
        <w:rPr>
          <w:bCs/>
          <w:b/>
        </w:rPr>
        <w:t xml:space="preserve">Last-Mile Delivery Channel:</w:t>
      </w:r>
      <w:r>
        <w:t xml:space="preserve"> </w:t>
      </w:r>
      <w:r>
        <w:t xml:space="preserve">Delivery Type (simulated as Road Freight - Heavy Goods Vehicle, for an assumed 500 km distance).</w:t>
      </w:r>
    </w:p>
    <w:p>
      <w:pPr>
        <w:pStyle w:val="FirstParagraph"/>
      </w:pPr>
      <w:r>
        <w:t xml:space="preserve">Emission factors used for transport (based on DEFRA/Ecoinvent averages):</w:t>
      </w:r>
    </w:p>
    <w:p>
      <w:pPr>
        <w:numPr>
          <w:ilvl w:val="0"/>
          <w:numId w:val="1004"/>
        </w:numPr>
        <w:pStyle w:val="Compact"/>
      </w:pPr>
      <w:r>
        <w:t xml:space="preserve">Ocean Freight: 0.010 kg CO2e/tonne-km</w:t>
      </w:r>
    </w:p>
    <w:p>
      <w:pPr>
        <w:numPr>
          <w:ilvl w:val="0"/>
          <w:numId w:val="1004"/>
        </w:numPr>
        <w:pStyle w:val="Compact"/>
      </w:pPr>
      <w:r>
        <w:t xml:space="preserve">Road Freight (HGV): 0.080 kg CO2e/tonne-km</w:t>
      </w:r>
    </w:p>
    <w:p>
      <w:pPr>
        <w:pStyle w:val="FirstParagraph"/>
      </w:pPr>
      <w:r>
        <w:t xml:space="preserve">An assumed product weight of 1.5 kg (sum of BOM items + packaging) is used for transport calculations.</w:t>
      </w:r>
    </w:p>
    <w:bookmarkEnd w:id="27"/>
    <w:bookmarkStart w:id="28" w:name="use-phase-data"/>
    <w:p>
      <w:pPr>
        <w:pStyle w:val="Heading3"/>
      </w:pPr>
      <w:r>
        <w:t xml:space="preserve">Use Phase Data</w:t>
      </w:r>
    </w:p>
    <w:p>
      <w:pPr>
        <w:pStyle w:val="FirstParagraph"/>
      </w:pPr>
      <w:r>
        <w:t xml:space="preserve">The use phase can be a major hotspot for energy-intensive products. For ghsnpmexnq, the following data was incorporated:</w:t>
      </w:r>
    </w:p>
    <w:p>
      <w:pPr>
        <w:numPr>
          <w:ilvl w:val="0"/>
          <w:numId w:val="1005"/>
        </w:numPr>
        <w:pStyle w:val="Compact"/>
      </w:pPr>
      <w:r>
        <w:rPr>
          <w:bCs/>
          <w:b/>
        </w:rPr>
        <w:t xml:space="preserve">Product Lifespan:</w:t>
      </w:r>
      <w:r>
        <w:t xml:space="preserve"> </w:t>
      </w:r>
      <w:r>
        <w:t xml:space="preserve">lopdkiopsd (simulated as 5 years).</w:t>
      </w:r>
    </w:p>
    <w:p>
      <w:pPr>
        <w:numPr>
          <w:ilvl w:val="0"/>
          <w:numId w:val="1005"/>
        </w:numPr>
        <w:pStyle w:val="Compact"/>
      </w:pPr>
      <w:r>
        <w:rPr>
          <w:bCs/>
          <w:b/>
        </w:rPr>
        <w:t xml:space="preserve">Energy Consumption in Use:</w:t>
      </w:r>
      <w:r>
        <w:t xml:space="preserve"> </w:t>
      </w:r>
      <w:r>
        <w:t xml:space="preserve">gsokzpylyy (simulated as 10 kWh/year).</w:t>
      </w:r>
    </w:p>
    <w:p>
      <w:pPr>
        <w:pStyle w:val="FirstParagraph"/>
      </w:pPr>
      <w:r>
        <w:t xml:space="preserve">The electricity consumed during the use phase is assumed to come from an average global grid mix with an emission factor of 0.35 kg CO2e/kWh (IEA average).</w:t>
      </w:r>
    </w:p>
    <w:bookmarkEnd w:id="28"/>
    <w:bookmarkStart w:id="29" w:name="end-of-life-eol-scenarios"/>
    <w:p>
      <w:pPr>
        <w:pStyle w:val="Heading3"/>
      </w:pPr>
      <w:r>
        <w:t xml:space="preserve">End-of-Life (EoL) Scenarios</w:t>
      </w:r>
    </w:p>
    <w:p>
      <w:pPr>
        <w:pStyle w:val="FirstParagraph"/>
      </w:pPr>
      <w:r>
        <w:t xml:space="preserve">Circular economy principles are integrated through EoL data:</w:t>
      </w:r>
    </w:p>
    <w:p>
      <w:pPr>
        <w:numPr>
          <w:ilvl w:val="0"/>
          <w:numId w:val="1006"/>
        </w:numPr>
        <w:pStyle w:val="Compact"/>
      </w:pPr>
      <w:r>
        <w:rPr>
          <w:bCs/>
          <w:b/>
        </w:rPr>
        <w:t xml:space="preserve">Recyclability Percentage:</w:t>
      </w:r>
      <w:r>
        <w:t xml:space="preserve"> </w:t>
      </w:r>
      <w:r>
        <w:t xml:space="preserve">jidxpggkdx (simulated as 85%).</w:t>
      </w:r>
    </w:p>
    <w:p>
      <w:pPr>
        <w:numPr>
          <w:ilvl w:val="0"/>
          <w:numId w:val="1006"/>
        </w:numPr>
        <w:pStyle w:val="Compact"/>
      </w:pPr>
      <w:r>
        <w:rPr>
          <w:bCs/>
          <w:b/>
        </w:rPr>
        <w:t xml:space="preserve">Circular/Take-back Programs:</w:t>
      </w:r>
      <w:r>
        <w:t xml:space="preserve"> </w:t>
      </w:r>
      <w:r>
        <w:t xml:space="preserve">oesrxynwxk (simulated as "Established take-back program for key components").</w:t>
      </w:r>
    </w:p>
    <w:p>
      <w:pPr>
        <w:pStyle w:val="FirstParagraph"/>
      </w:pPr>
      <w:r>
        <w:t xml:space="preserve">Recycling benefits (avoided emissions) are calculated based on the recyclability percentage and the virgin material emission factors. A small burden for non-recyclable waste disposal (e.g., landfill) is also considered, assuming 0.02 kg CO2e/kg for waste processing.</w:t>
      </w:r>
    </w:p>
    <w:p>
      <w:r>
        <w:pict>
          <v:rect style="width:0;height:1.5pt" o:hralign="center" o:hrstd="t" o:hr="t"/>
        </w:pict>
      </w:r>
    </w:p>
    <w:bookmarkEnd w:id="29"/>
    <w:bookmarkEnd w:id="30"/>
    <w:bookmarkStart w:id="37"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1, Scope 2, and Scope 3 definitions.</w:t>
      </w:r>
    </w:p>
    <w:bookmarkStart w:id="31" w:name="scope-1-direct-emissions"/>
    <w:p>
      <w:pPr>
        <w:pStyle w:val="Heading3"/>
      </w:pPr>
      <w:r>
        <w:t xml:space="preserve">Scope 1: Direct Emissions</w:t>
      </w:r>
    </w:p>
    <w:p>
      <w:pPr>
        <w:pStyle w:val="FirstParagraph"/>
      </w:pPr>
      <w:r>
        <w:t xml:space="preserve">For a factory_gate system boundary, Scope 1 emissions typically cover direct fuel combustion on-site (e.g., for heating or vehicle fleets). Given the focus on "factory_gate" for a product and lack of specific on-site combustion data, this report assumes minimal direct operational emissions from the manufacturing process of the product itself for this specific analysis (e.g., no company-owned vehicles in the factory). If neqtfrnhly operates its own furnaces or vehicles on site for ghsnpmexnq\'s production, these would be included here. For this simulation, Scope 1 is considered negligible for the product itself, as electricity is accounted for in Scope 2 and material production in Scope 3.</w:t>
      </w:r>
    </w:p>
    <w:p>
      <w:pPr>
        <w:pStyle w:val="BodyText"/>
      </w:pPr>
      <w:r>
        <w:rPr>
          <w:bCs/>
          <w:b/>
        </w:rPr>
        <w:t xml:space="preserve">Total Scope 1 Emissions: 0.0 kg CO2e</w:t>
      </w:r>
    </w:p>
    <w:bookmarkEnd w:id="31"/>
    <w:bookmarkStart w:id="32" w:name="scope-2-purchased-energy-emissions"/>
    <w:p>
      <w:pPr>
        <w:pStyle w:val="Heading3"/>
      </w:pPr>
      <w:r>
        <w:t xml:space="preserve">Scope 2: Purchased Energy Emissions</w:t>
      </w:r>
    </w:p>
    <w:p>
      <w:pPr>
        <w:pStyle w:val="FirstParagraph"/>
      </w:pPr>
      <w:r>
        <w:t xml:space="preserve">These emissions result from the generation of purchased electricity, heat, or steam consumed by neqtfrnhly\'s manufacturing facility for ghsnpmexnq.</w:t>
      </w:r>
    </w:p>
    <w:p>
      <w:pPr>
        <w:numPr>
          <w:ilvl w:val="0"/>
          <w:numId w:val="1007"/>
        </w:numPr>
        <w:pStyle w:val="Compact"/>
      </w:pPr>
      <w:r>
        <w:t xml:space="preserve">Total Energy Consumption: 2.5 kWh/unit (dyvpfjkvzj)</w:t>
      </w:r>
    </w:p>
    <w:p>
      <w:pPr>
        <w:numPr>
          <w:ilvl w:val="0"/>
          <w:numId w:val="1007"/>
        </w:numPr>
        <w:pStyle w:val="Compact"/>
      </w:pPr>
      <w:r>
        <w:t xml:space="preserve">Renewable Energy Share: 70% (qjtoxhizig)</w:t>
      </w:r>
    </w:p>
    <w:p>
      <w:pPr>
        <w:numPr>
          <w:ilvl w:val="0"/>
          <w:numId w:val="1007"/>
        </w:numPr>
        <w:pStyle w:val="Compact"/>
      </w:pPr>
      <w:r>
        <w:t xml:space="preserve">Non-Renewable Energy Share: 30%</w:t>
      </w:r>
    </w:p>
    <w:p>
      <w:pPr>
        <w:numPr>
          <w:ilvl w:val="0"/>
          <w:numId w:val="1007"/>
        </w:numPr>
        <w:pStyle w:val="Compact"/>
      </w:pPr>
      <w:r>
        <w:t xml:space="preserve">Non-Renewable Electricity (grid mix): 2.5 kWh * 0.30 = 0.75 kWh</w:t>
      </w:r>
    </w:p>
    <w:p>
      <w:pPr>
        <w:numPr>
          <w:ilvl w:val="0"/>
          <w:numId w:val="1007"/>
        </w:numPr>
        <w:pStyle w:val="Compact"/>
      </w:pPr>
      <w:r>
        <w:t xml:space="preserve">Renewable Electricity: 2.5 kWh * 0.70 = 1.75 kWh</w:t>
      </w:r>
    </w:p>
    <w:p>
      <w:pPr>
        <w:numPr>
          <w:ilvl w:val="0"/>
          <w:numId w:val="1007"/>
        </w:numPr>
        <w:pStyle w:val="Compact"/>
      </w:pPr>
      <w:r>
        <w:t xml:space="preserve">Emissions from Non-Renewable: 0.75 kWh * 0.4 kg CO2e/kWh = 0.30 kg CO2e</w:t>
      </w:r>
    </w:p>
    <w:p>
      <w:pPr>
        <w:numPr>
          <w:ilvl w:val="0"/>
          <w:numId w:val="1007"/>
        </w:numPr>
        <w:pStyle w:val="Compact"/>
      </w:pPr>
      <w:r>
        <w:t xml:space="preserve">Emissions from Renewable (upstream): 1.75 kWh * 0.05 kg CO2e/kWh = 0.0875 kg CO2e</w:t>
      </w:r>
    </w:p>
    <w:p>
      <w:pPr>
        <w:pStyle w:val="FirstParagraph"/>
      </w:pPr>
      <w:r>
        <w:rPr>
          <w:bCs/>
          <w:b/>
        </w:rPr>
        <w:t xml:space="preserve">Total Scope 2 Emissions: 0.30 + 0.0875 = 0.3875 kg CO2e</w:t>
      </w:r>
    </w:p>
    <w:bookmarkEnd w:id="32"/>
    <w:bookmarkStart w:id="35" w:name="scope-3-value-chain-emissions"/>
    <w:p>
      <w:pPr>
        <w:pStyle w:val="Heading3"/>
      </w:pPr>
      <w:r>
        <w:t xml:space="preserve">Scope 3: Value Chain Emissions</w:t>
      </w:r>
    </w:p>
    <w:p>
      <w:pPr>
        <w:pStyle w:val="FirstParagraph"/>
      </w:pPr>
      <w:r>
        <w:t xml:space="preserve">Scope 3 emissions cover all other indirect emissions both upstream and downstream in the value chain. This category is typically the largest for most products.</w:t>
      </w:r>
    </w:p>
    <w:bookmarkStart w:id="33" w:name="upstream-emissions"/>
    <w:p>
      <w:pPr>
        <w:pStyle w:val="Heading4"/>
      </w:pPr>
      <w:r>
        <w:t xml:space="preserve">Upstream Emissions:</w:t>
      </w:r>
    </w:p>
    <w:p>
      <w:pPr>
        <w:numPr>
          <w:ilvl w:val="0"/>
          <w:numId w:val="1008"/>
        </w:numPr>
      </w:pPr>
      <w:r>
        <w:rPr>
          <w:bCs/>
          <w:b/>
        </w:rPr>
        <w:t xml:space="preserve">Material Acquisition &amp; Production:</w:t>
      </w:r>
    </w:p>
    <w:p>
      <w:pPr>
        <w:numPr>
          <w:ilvl w:val="0"/>
          <w:numId w:val="1000"/>
        </w:numPr>
      </w:pPr>
      <w:r>
        <w:t xml:space="preserve">Sum of \'Total Carbon\' from BOM table (simulated data).</w:t>
      </w:r>
    </w:p>
    <w:p>
      <w:pPr>
        <w:numPr>
          <w:ilvl w:val="0"/>
          <w:numId w:val="1000"/>
        </w:numPr>
      </w:pPr>
      <w:r>
        <w:t xml:space="preserve">Total Material Emissions = 3.35 + 0.70 + 0.28 + 0.60 + 1.20 + 0.24 =</w:t>
      </w:r>
      <w:r>
        <w:t xml:space="preserve"> </w:t>
      </w:r>
      <w:r>
        <w:rPr>
          <w:bCs/>
          <w:b/>
        </w:rPr>
        <w:t xml:space="preserve">6.37 kg CO2e</w:t>
      </w:r>
    </w:p>
    <w:p>
      <w:pPr>
        <w:numPr>
          <w:ilvl w:val="0"/>
          <w:numId w:val="1008"/>
        </w:numPr>
      </w:pPr>
      <w:r>
        <w:rPr>
          <w:bCs/>
          <w:b/>
        </w:rPr>
        <w:t xml:space="preserve">Upstream Transportation:</w:t>
      </w:r>
    </w:p>
    <w:p>
      <w:pPr>
        <w:numPr>
          <w:ilvl w:val="0"/>
          <w:numId w:val="1000"/>
        </w:numPr>
      </w:pPr>
      <w:r>
        <w:t xml:space="preserve">Assumed transport of raw materials to factory, using ocean freight and road freight for initial distribution within Europe.</w:t>
      </w:r>
    </w:p>
    <w:p>
      <w:pPr>
        <w:numPr>
          <w:ilvl w:val="1"/>
          <w:numId w:val="1009"/>
        </w:numPr>
        <w:pStyle w:val="Compact"/>
      </w:pPr>
      <w:r>
        <w:t xml:space="preserve">Ocean Freight (1.5 kg product weight * assumed 1000 km avg material transport for EU focus to China production * 0.010 kg CO2e/tonne-km) = 1.5 kg * 1000 km * 0.010 kg CO2e/1000 kg-km = 0.015 kg CO2e (simplified for demonstration, actual would be per material component)</w:t>
      </w:r>
    </w:p>
    <w:p>
      <w:pPr>
        <w:numPr>
          <w:ilvl w:val="1"/>
          <w:numId w:val="1009"/>
        </w:numPr>
        <w:pStyle w:val="Compact"/>
      </w:pPr>
      <w:r>
        <w:t xml:space="preserve">Road Freight (1.5 kg product weight * assumed 200 km avg road transport for initial EU distribution * 0.080 kg CO2e/tonne-km) = 1.5 kg * 200 km * 0.080 kg CO2e/1000 kg-km = 0.024 kg CO2e</w:t>
      </w:r>
    </w:p>
    <w:p>
      <w:pPr>
        <w:numPr>
          <w:ilvl w:val="0"/>
          <w:numId w:val="1000"/>
        </w:numPr>
      </w:pPr>
      <w:r>
        <w:t xml:space="preserve">Total Upstream Transportation (Estimated) = 0.015 + 0.024 =</w:t>
      </w:r>
      <w:r>
        <w:t xml:space="preserve"> </w:t>
      </w:r>
      <w:r>
        <w:rPr>
          <w:bCs/>
          <w:b/>
        </w:rPr>
        <w:t xml:space="preserve">0.039 kg CO2e</w:t>
      </w:r>
    </w:p>
    <w:p>
      <w:pPr>
        <w:pStyle w:val="FirstParagraph"/>
      </w:pPr>
      <w:r>
        <w:rPr>
          <w:bCs/>
          <w:b/>
        </w:rPr>
        <w:t xml:space="preserve">Total Upstream Scope 3 Emissions: 6.37 + 0.039 = 6.409 kg CO2e</w:t>
      </w:r>
    </w:p>
    <w:bookmarkEnd w:id="33"/>
    <w:bookmarkStart w:id="34" w:name="downstream-emissions"/>
    <w:p>
      <w:pPr>
        <w:pStyle w:val="Heading4"/>
      </w:pPr>
      <w:r>
        <w:t xml:space="preserve">Downstream Emissions:</w:t>
      </w:r>
    </w:p>
    <w:p>
      <w:pPr>
        <w:numPr>
          <w:ilvl w:val="0"/>
          <w:numId w:val="1010"/>
        </w:numPr>
      </w:pPr>
      <w:r>
        <w:rPr>
          <w:bCs/>
          <w:b/>
        </w:rPr>
        <w:t xml:space="preserve">Downstream Transportation (Outbound Logistics):</w:t>
      </w:r>
    </w:p>
    <w:p>
      <w:pPr>
        <w:numPr>
          <w:ilvl w:val="1"/>
          <w:numId w:val="1011"/>
        </w:numPr>
        <w:pStyle w:val="Compact"/>
      </w:pPr>
      <w:r>
        <w:t xml:space="preserve">Ocean Freight (Product ghsnpmexnq from China to Europe): 1.5 kg * 12,000 km * 0.010 kg CO2e/1000 kg-km = 0.18 kg CO2e</w:t>
      </w:r>
    </w:p>
    <w:p>
      <w:pPr>
        <w:numPr>
          <w:ilvl w:val="1"/>
          <w:numId w:val="1011"/>
        </w:numPr>
        <w:pStyle w:val="Compact"/>
      </w:pPr>
      <w:r>
        <w:t xml:space="preserve">Last-Mile Delivery (Road Freight - HGV): 1.5 kg * 500 km * 0.080 kg CO2e/1000 kg-km = 0.06 kg CO2e</w:t>
      </w:r>
    </w:p>
    <w:p>
      <w:pPr>
        <w:numPr>
          <w:ilvl w:val="0"/>
          <w:numId w:val="1000"/>
        </w:numPr>
      </w:pPr>
      <w:r>
        <w:t xml:space="preserve">Total Downstream Transportation = 0.18 + 0.06 =</w:t>
      </w:r>
      <w:r>
        <w:t xml:space="preserve"> </w:t>
      </w:r>
      <w:r>
        <w:rPr>
          <w:bCs/>
          <w:b/>
        </w:rPr>
        <w:t xml:space="preserve">0.24 kg CO2e</w:t>
      </w:r>
    </w:p>
    <w:p>
      <w:pPr>
        <w:numPr>
          <w:ilvl w:val="0"/>
          <w:numId w:val="1010"/>
        </w:numPr>
        <w:pStyle w:val="Compact"/>
      </w:pPr>
      <w:r>
        <w:rPr>
          <w:bCs/>
          <w:b/>
        </w:rPr>
        <w:t xml:space="preserve">Use Phase Emissions:</w:t>
      </w:r>
    </w:p>
    <w:p>
      <w:pPr>
        <w:numPr>
          <w:ilvl w:val="1"/>
          <w:numId w:val="1012"/>
        </w:numPr>
        <w:pStyle w:val="Compact"/>
      </w:pPr>
      <w:r>
        <w:t xml:space="preserve">Energy Consumption: 10 kWh/year * 5 years = 50 kWh</w:t>
      </w:r>
    </w:p>
    <w:p>
      <w:pPr>
        <w:numPr>
          <w:ilvl w:val="1"/>
          <w:numId w:val="1012"/>
        </w:numPr>
        <w:pStyle w:val="Compact"/>
      </w:pPr>
      <w:r>
        <w:t xml:space="preserve">Emissions: 50 kWh * 0.35 kg CO2e/kWh (global grid mix) =</w:t>
      </w:r>
      <w:r>
        <w:t xml:space="preserve"> </w:t>
      </w:r>
      <w:r>
        <w:rPr>
          <w:bCs/>
          <w:b/>
        </w:rPr>
        <w:t xml:space="preserve">17.5 kg CO2e</w:t>
      </w:r>
    </w:p>
    <w:p>
      <w:pPr>
        <w:numPr>
          <w:ilvl w:val="0"/>
          <w:numId w:val="1010"/>
        </w:numPr>
      </w:pPr>
      <w:r>
        <w:rPr>
          <w:bCs/>
          <w:b/>
        </w:rPr>
        <w:t xml:space="preserve">End-of-Life (EoL) Treatment:</w:t>
      </w:r>
    </w:p>
    <w:p>
      <w:pPr>
        <w:numPr>
          <w:ilvl w:val="1"/>
          <w:numId w:val="1013"/>
        </w:numPr>
        <w:pStyle w:val="Compact"/>
      </w:pPr>
      <w:r>
        <w:t xml:space="preserve">Recyclability: 85%</w:t>
      </w:r>
    </w:p>
    <w:p>
      <w:pPr>
        <w:numPr>
          <w:ilvl w:val="1"/>
          <w:numId w:val="1013"/>
        </w:numPr>
        <w:pStyle w:val="Compact"/>
      </w:pPr>
      <w:r>
        <w:t xml:space="preserve">Non-recyclable waste: 15% of 1.5 kg = 0.225 kg</w:t>
      </w:r>
    </w:p>
    <w:p>
      <w:pPr>
        <w:numPr>
          <w:ilvl w:val="1"/>
          <w:numId w:val="1013"/>
        </w:numPr>
        <w:pStyle w:val="Compact"/>
      </w:pPr>
      <w:r>
        <w:t xml:space="preserve">Disposal burden (e.g., landfill): 0.225 kg * 0.02 kg CO2e/kg = 0.0045 kg CO2e</w:t>
      </w:r>
    </w:p>
    <w:p>
      <w:pPr>
        <w:numPr>
          <w:ilvl w:val="1"/>
          <w:numId w:val="1013"/>
        </w:numPr>
        <w:pStyle w:val="Compact"/>
      </w:pPr>
      <w:r>
        <w:t xml:space="preserve">Recycling benefit (avoided emissions): 85% of (6.37 kg material emissions) * 0.8 (assuming 80% efficiency for avoided emissions) = -4.3316 kg CO2e (negative indicates avoided emissions)</w:t>
      </w:r>
    </w:p>
    <w:p>
      <w:pPr>
        <w:numPr>
          <w:ilvl w:val="1"/>
          <w:numId w:val="1013"/>
        </w:numPr>
        <w:pStyle w:val="Compact"/>
      </w:pPr>
      <w:r>
        <w:t xml:space="preserve">Consideration for circular/take-back programs (oesrxynwxk) would further optimize these benefits, but for direct calculation, the recyclability percentage is used as the primary driver.</w:t>
      </w:r>
    </w:p>
    <w:p>
      <w:pPr>
        <w:numPr>
          <w:ilvl w:val="0"/>
          <w:numId w:val="1000"/>
        </w:numPr>
      </w:pPr>
      <w:r>
        <w:t xml:space="preserve">Total End-of-Life = 0.0045 - 4.3316 =</w:t>
      </w:r>
      <w:r>
        <w:t xml:space="preserve"> </w:t>
      </w:r>
      <w:r>
        <w:rPr>
          <w:bCs/>
          <w:b/>
        </w:rPr>
        <w:t xml:space="preserve">-4.3271 kg CO2e</w:t>
      </w:r>
    </w:p>
    <w:p>
      <w:pPr>
        <w:pStyle w:val="FirstParagraph"/>
      </w:pPr>
      <w:r>
        <w:rPr>
          <w:bCs/>
          <w:b/>
        </w:rPr>
        <w:t xml:space="preserve">Total Downstream Scope 3 Emissions: 0.24 + 17.5 - 4.3271 = 13.4129 kg CO2e</w:t>
      </w:r>
    </w:p>
    <w:p>
      <w:r>
        <w:pict>
          <v:rect style="width:0;height:1.5pt" o:hralign="center" o:hrstd="t" o:hr="t"/>
        </w:pict>
      </w:r>
    </w:p>
    <w:bookmarkEnd w:id="34"/>
    <w:bookmarkEnd w:id="35"/>
    <w:bookmarkStart w:id="36" w:name="X9b8f96e5fd6ec30b02c91cc11d45f1568d9808c"/>
    <w:p>
      <w:pPr>
        <w:pStyle w:val="Heading3"/>
      </w:pPr>
      <w:r>
        <w:t xml:space="preserve">Summary of Emissions by Scope and Lifecycle Stage</w:t>
      </w:r>
    </w:p>
    <w:p>
      <w:pPr>
        <w:pStyle w:val="FirstParagraph"/>
      </w:pPr>
      <w:r>
        <w:t xml:space="preserve">The following table provides a comprehensive overview of the calculated Product Carbon Footprint for ghsnpmexnq.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6.370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0.039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0.388</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0.240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17.500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-4.327</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20.210 kg CO2e</w:t>
            </w:r>
          </w:p>
        </w:tc>
      </w:tr>
    </w:tbl>
    <w:p>
      <w:pPr>
        <w:pStyle w:val="BodyText"/>
      </w:pPr>
      <w:r>
        <w:rPr>
          <w:bCs/>
          <w:b/>
        </w:rPr>
        <w:t xml:space="preserve">Total Emissions by Scope:</w:t>
      </w:r>
    </w:p>
    <w:p>
      <w:pPr>
        <w:numPr>
          <w:ilvl w:val="0"/>
          <w:numId w:val="1014"/>
        </w:numPr>
        <w:pStyle w:val="Compact"/>
      </w:pPr>
      <w:r>
        <w:rPr>
          <w:bCs/>
          <w:b/>
        </w:rPr>
        <w:t xml:space="preserve">Scope 1:</w:t>
      </w:r>
      <w:r>
        <w:t xml:space="preserve"> </w:t>
      </w:r>
      <w:r>
        <w:t xml:space="preserve">0.0 kg CO2e</w:t>
      </w:r>
    </w:p>
    <w:p>
      <w:pPr>
        <w:numPr>
          <w:ilvl w:val="0"/>
          <w:numId w:val="1014"/>
        </w:numPr>
        <w:pStyle w:val="Compact"/>
      </w:pPr>
      <w:r>
        <w:rPr>
          <w:bCs/>
          <w:b/>
        </w:rPr>
        <w:t xml:space="preserve">Scope 2:</w:t>
      </w:r>
      <w:r>
        <w:t xml:space="preserve"> </w:t>
      </w:r>
      <w:r>
        <w:t xml:space="preserve">0.388 kg CO2e</w:t>
      </w:r>
    </w:p>
    <w:p>
      <w:pPr>
        <w:numPr>
          <w:ilvl w:val="0"/>
          <w:numId w:val="1014"/>
        </w:numPr>
        <w:pStyle w:val="Compact"/>
      </w:pPr>
      <w:r>
        <w:rPr>
          <w:bCs/>
          <w:b/>
        </w:rPr>
        <w:t xml:space="preserve">Scope 3:</w:t>
      </w:r>
      <w:r>
        <w:t xml:space="preserve"> </w:t>
      </w:r>
      <w:r>
        <w:t xml:space="preserve">6.409 (Upstream) + 13.4129 (Downstream) = 19.8219 kg CO2e</w:t>
      </w:r>
    </w:p>
    <w:p>
      <w:pPr>
        <w:pStyle w:val="FirstParagraph"/>
      </w:pPr>
      <w:r>
        <w:t xml:space="preserve">Total PCF = 0.0 + 0.388 + 19.8219 = 20.2099 kg CO2e. (Difference due to rounding in table).</w:t>
      </w:r>
    </w:p>
    <w:p>
      <w:pPr>
        <w:pStyle w:val="BodyText"/>
      </w:pPr>
      <w:r>
        <w:t xml:space="preserve">The Scope 3 coverage, encompassing all upstream and downstream categories, is approximately 98% (19.8219 / 20.2099), well exceeding the 2026 requirement of 95%.</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the primary emission hotspots for ghsnpmexnq:</w:t>
      </w:r>
    </w:p>
    <w:p>
      <w:pPr>
        <w:numPr>
          <w:ilvl w:val="0"/>
          <w:numId w:val="1015"/>
        </w:numPr>
        <w:pStyle w:val="Compact"/>
      </w:pPr>
      <w:r>
        <w:rPr>
          <w:bCs/>
          <w:b/>
        </w:rPr>
        <w:t xml:space="preserve">Product Use Phase (Scope 3 Downstream):</w:t>
      </w:r>
      <w:r>
        <w:t xml:space="preserve"> </w:t>
      </w:r>
      <w:r>
        <w:t xml:space="preserve">At 17.5 kg CO2e, this phase represents the most significant portion of the product\'s footprint, accounting for approximately 86.6% of the total. This indicates that the energy efficiency of the product during its operational lifespan is critical.</w:t>
      </w:r>
    </w:p>
    <w:p>
      <w:pPr>
        <w:numPr>
          <w:ilvl w:val="0"/>
          <w:numId w:val="1015"/>
        </w:numPr>
        <w:pStyle w:val="Compact"/>
      </w:pPr>
      <w:r>
        <w:rPr>
          <w:bCs/>
          <w:b/>
        </w:rPr>
        <w:t xml:space="preserve">Material Acquisition &amp; Production (Scope 3 Upstream):</w:t>
      </w:r>
      <w:r>
        <w:t xml:space="preserve"> </w:t>
      </w:r>
      <w:r>
        <w:t xml:space="preserve">Materials contribute 6.37 kg CO2e, or about 31.5% of the gross emissions (before EoL benefits), making selection of low-carbon materials and efficient manufacturing processes crucial. High-impact materials like Aluminum and the Lithium-ion battery are notable contributors.</w:t>
      </w:r>
    </w:p>
    <w:p>
      <w:pPr>
        <w:numPr>
          <w:ilvl w:val="0"/>
          <w:numId w:val="1015"/>
        </w:numPr>
        <w:pStyle w:val="Compact"/>
      </w:pPr>
      <w:r>
        <w:rPr>
          <w:bCs/>
          <w:b/>
        </w:rPr>
        <w:t xml:space="preserve">End-of-Life (EoL) Treatment (Scope 3 Downstream):</w:t>
      </w:r>
      <w:r>
        <w:t xml:space="preserve"> </w:t>
      </w:r>
      <w:r>
        <w:t xml:space="preserve">The strong recyclability and take-back programs result in a significant net carbon benefit (-4.327 kg CO2e), effectively reducing the overall footprint. This highlights the positive impact of circular economy initiatives.</w:t>
      </w:r>
    </w:p>
    <w:p>
      <w:pPr>
        <w:numPr>
          <w:ilvl w:val="0"/>
          <w:numId w:val="1015"/>
        </w:numPr>
        <w:pStyle w:val="Compact"/>
      </w:pPr>
      <w:r>
        <w:rPr>
          <w:bCs/>
          <w:b/>
        </w:rPr>
        <w:t xml:space="preserve">Manufacturing Energy (Scope 2):</w:t>
      </w:r>
      <w:r>
        <w:t xml:space="preserve"> </w:t>
      </w:r>
      <w:r>
        <w:t xml:space="preserve">While important, the relatively high renewable energy usage (70%) helps mitigate emissions from direct production processes, contributing a smaller share (0.388 kg CO2e).</w:t>
      </w:r>
    </w:p>
    <w:bookmarkEnd w:id="38"/>
    <w:bookmarkStart w:id="39" w:name="reliability-statement"/>
    <w:p>
      <w:pPr>
        <w:pStyle w:val="Heading3"/>
      </w:pPr>
      <w:r>
        <w:t xml:space="preserve">Reliability Statement</w:t>
      </w:r>
    </w:p>
    <w:p>
      <w:pPr>
        <w:pStyle w:val="FirstParagraph"/>
      </w:pPr>
      <w:r>
        <w:t xml:space="preserve">This report has been prepared using the GHG Protocol Product Standard, incorporating the 2026 LSR Update and ensuring comprehensive Scope 3 coverage. Emission factors used are representative industry averages (e.g., from Ecoinvent, DEFRA, IEA). However, it is important to note that specific input parameters, such as the Detailed Bill of Materials (\'pogxrjoi\'), Transport Mode (\'Select Mode\'), Transport Distance (\'fkxgktltie\'), Last-Mile Delivery Channel (\'Delivery Type\'), Renewable Energy Usage (\'qjtoxhizig\'), Energy Intensity (\'dyvpfjkvzj\'), Product Lifespan (\'lopdkiopsd\'), Energy Consumption in Use (\'gsokzpylyy\'), Recyclability Percentage (\'jidxpggkdx\'), and Circular/Take-back Programs (\'oesrxynwxk\'), were provided as placeholder strings. The values used in this report for these parameters are based on informed simulations to demonstrate the methodology. For a verified PCF, these placeholders must be replaced with actual, primary data from neqtfrnhly\'s operations and supply chain. The accuracy of the report hinges on the quality and specificity of the underlying data.</w:t>
      </w:r>
    </w:p>
    <w:bookmarkEnd w:id="39"/>
    <w:bookmarkStart w:id="40" w:name="recommendations"/>
    <w:p>
      <w:pPr>
        <w:pStyle w:val="Heading3"/>
      </w:pPr>
      <w:r>
        <w:t xml:space="preserve">Recommendations</w:t>
      </w:r>
    </w:p>
    <w:p>
      <w:pPr>
        <w:pStyle w:val="FirstParagraph"/>
      </w:pPr>
      <w:r>
        <w:t xml:space="preserve">Based on this PCF analysis for ghsnpmexnq, the following recommendations are made for neqtfrnhly:</w:t>
      </w:r>
    </w:p>
    <w:p>
      <w:pPr>
        <w:numPr>
          <w:ilvl w:val="0"/>
          <w:numId w:val="1016"/>
        </w:numPr>
        <w:pStyle w:val="Compact"/>
      </w:pPr>
      <w:r>
        <w:rPr>
          <w:bCs/>
          <w:b/>
        </w:rPr>
        <w:t xml:space="preserve">Optimize Use Phase Efficiency:</w:t>
      </w:r>
      <w:r>
        <w:t xml:space="preserve"> </w:t>
      </w:r>
      <w:r>
        <w:t xml:space="preserve">Given that the use phase is the dominant hotspot, invest in research and development to significantly reduce the product\'s energy consumption during its lifespan. Explore low-power modes, extend battery life, or develop more energy-efficient components.</w:t>
      </w:r>
    </w:p>
    <w:p>
      <w:pPr>
        <w:numPr>
          <w:ilvl w:val="0"/>
          <w:numId w:val="1016"/>
        </w:numPr>
        <w:pStyle w:val="Compact"/>
      </w:pPr>
      <w:r>
        <w:rPr>
          <w:bCs/>
          <w:b/>
        </w:rPr>
        <w:t xml:space="preserve">Material Decarbonization:</w:t>
      </w:r>
      <w:r>
        <w:t xml:space="preserve"> </w:t>
      </w:r>
      <w:r>
        <w:t xml:space="preserve">Continue to evaluate and source lower-carbon alternatives for high-impact materials, particularly aluminum, plastics, and battery components. Collaborate with suppliers to understand and reduce the embodied emissions of purchased materials.</w:t>
      </w:r>
    </w:p>
    <w:p>
      <w:pPr>
        <w:numPr>
          <w:ilvl w:val="0"/>
          <w:numId w:val="1016"/>
        </w:numPr>
        <w:pStyle w:val="Compact"/>
      </w:pPr>
      <w:r>
        <w:rPr>
          <w:bCs/>
          <w:b/>
        </w:rPr>
        <w:t xml:space="preserve">Enhance Circularity:</w:t>
      </w:r>
      <w:r>
        <w:t xml:space="preserve"> </w:t>
      </w:r>
      <w:r>
        <w:t xml:space="preserve">Further leverage and expand the existing take-back programs (oesrxynwxk). Design for easier disassembly, repair, and upgradeability to maximize material reuse and product longevity, further boosting EoL benefits.</w:t>
      </w:r>
    </w:p>
    <w:p>
      <w:pPr>
        <w:numPr>
          <w:ilvl w:val="0"/>
          <w:numId w:val="1016"/>
        </w:numPr>
        <w:pStyle w:val="Compact"/>
      </w:pPr>
      <w:r>
        <w:rPr>
          <w:bCs/>
          <w:b/>
        </w:rPr>
        <w:t xml:space="preserve">Supply Chain Engagement:</w:t>
      </w:r>
      <w:r>
        <w:t xml:space="preserve"> </w:t>
      </w:r>
      <w:r>
        <w:t xml:space="preserve">Work closely with logistics partners to explore more carbon-efficient transport modes and optimized routes. Engage key suppliers to improve their energy efficiency and renewable energy adoption.</w:t>
      </w:r>
    </w:p>
    <w:p>
      <w:pPr>
        <w:numPr>
          <w:ilvl w:val="0"/>
          <w:numId w:val="1016"/>
        </w:numPr>
        <w:pStyle w:val="Compact"/>
      </w:pPr>
      <w:r>
        <w:rPr>
          <w:bCs/>
          <w:b/>
        </w:rPr>
        <w:t xml:space="preserve">Data Refinement:</w:t>
      </w:r>
      <w:r>
        <w:t xml:space="preserve"> </w:t>
      </w:r>
      <w:r>
        <w:t xml:space="preserve">Establish robust systems for collecting primary data for all parameters currently simulated (e.g., actual BOM with specific supplier data, real transport logs, precise energy consumption figures) to enhance the accuracy and reliability of future PCF assessments.</w:t>
      </w:r>
    </w:p>
    <w:p>
      <w:pPr>
        <w:pStyle w:val="FirstParagraph"/>
      </w:pPr>
      <w:r>
        <w:t xml:space="preserve">Implementing these strategies will significantly contribute to reducing the environmental footprint of ghsnpmexnq and align neqtfrnhly with its sustainability goals and the evolving regulatory landscape.</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ghsnpmexnq</dc:title>
  <dc:creator/>
  <dc:description>Detailed Product Carbon Footprint (PCF) analysis report for product ghsnpmexnq, adhering to GHG Protocol standards and 2026 LSR Update, conducted by Senior Sustainability Consultant ekpjiehzvu for neqtfrnhly.</dc:description>
  <dc:language>en</dc:language>
  <cp:keywords/>
  <dcterms:created xsi:type="dcterms:W3CDTF">2026-07-15T14:33:28Z</dcterms:created>
  <dcterms:modified xsi:type="dcterms:W3CDTF">2026-07-15T14:33:28Z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