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ghfsshkozz</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Name:</w:t>
      </w:r>
      <w:r>
        <w:t xml:space="preserve"> </w:t>
      </w:r>
      <w:r>
        <w:t xml:space="preserve">ghfsshkozz</w:t>
      </w:r>
    </w:p>
    <w:p>
      <w:pPr>
        <w:pStyle w:val="BodyText"/>
      </w:pPr>
      <w:r>
        <w:rPr>
          <w:bCs/>
          <w:b/>
        </w:rPr>
        <w:t xml:space="preserve">Company Name:</w:t>
      </w:r>
      <w:r>
        <w:t xml:space="preserve"> </w:t>
      </w:r>
      <w:r>
        <w:t xml:space="preserve">erxqgijwyp</w:t>
      </w:r>
    </w:p>
    <w:p>
      <w:pPr>
        <w:pStyle w:val="BodyText"/>
      </w:pPr>
      <w:r>
        <w:rPr>
          <w:bCs/>
          <w:b/>
        </w:rPr>
        <w:t xml:space="preserve">Senior Sustainability Consultant:</w:t>
      </w:r>
      <w:r>
        <w:t xml:space="preserve"> </w:t>
      </w:r>
      <w:r>
        <w:t xml:space="preserve">fodjnsoyyl</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presented are dependent on the quality and completeness of the input parameters and illustrative assumptions made where specific numerical data was not provided.</w:t>
      </w:r>
    </w:p>
    <w:bookmarkEnd w:id="20"/>
    <w:bookmarkStart w:id="21" w:name="X1c496fb14e73c4dacf9d8100344436097646779"/>
    <w:p>
      <w:pPr>
        <w:pStyle w:val="Heading1"/>
      </w:pPr>
      <w:r>
        <w:t xml:space="preserve">Product Carbon Footprint Analysis for ghfsshkozz</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ghfsshkozz, manufactured by erxqgijwyp. Conducted by fodjnsoyyl, Senior Sustainability Consultant, this assessment adheres strictly to the GHG Protocol, incorporating considerations for the 2026 Land Sector and Removals (LSR) Standard and targeting at least 95% Scope 3 coverage. The analysis maps the product\'s lifecycle from material extraction to end-of-life, identifying key emission hotspots and providing a comprehensive overview of its environmental impact. Illustrative data has been utilized where specific numerical values were not provided for certain parameters, allowing for a demonstration of the methodology.</w:t>
      </w:r>
    </w:p>
    <w:p>
      <w:r>
        <w:pict>
          <v:rect style="width:0;height:1.5pt" o:hralign="center" o:hrstd="t" o:hr="t"/>
        </w:pict>
      </w:r>
    </w:p>
    <w:bookmarkEnd w:id="22"/>
    <w:bookmarkStart w:id="23" w:name="defining-scope-and-boundaries"/>
    <w:p>
      <w:pPr>
        <w:pStyle w:val="Heading2"/>
      </w:pPr>
      <w:r>
        <w:t xml:space="preserve">1. Defining Scope and Boundaries</w:t>
      </w:r>
    </w:p>
    <w:p>
      <w:pPr>
        <w:pStyle w:val="FirstParagraph"/>
      </w:pPr>
      <w:r>
        <w:t xml:space="preserve">The initial phase of the PCF analysis establishes the foundational parameters for accurate assessment.</w:t>
      </w:r>
    </w:p>
    <w:p>
      <w:pPr>
        <w:numPr>
          <w:ilvl w:val="0"/>
          <w:numId w:val="1001"/>
        </w:numPr>
        <w:pStyle w:val="Compact"/>
      </w:pPr>
      <w:r>
        <w:rPr>
          <w:bCs/>
          <w:b/>
        </w:rPr>
        <w:t xml:space="preserve">Functional Unit:</w:t>
      </w:r>
      <w:r>
        <w:t xml:space="preserve"> </w:t>
      </w:r>
      <w:r>
        <w:t xml:space="preserve">The study assesses the carbon footprint per 1.0 unit of ghfsshkozz. This unit serves as the reference basis for all quantified environmental impacts, ensuring comparability and relevance.</w:t>
      </w:r>
    </w:p>
    <w:p>
      <w:pPr>
        <w:numPr>
          <w:ilvl w:val="0"/>
          <w:numId w:val="1001"/>
        </w:numPr>
        <w:pStyle w:val="Compact"/>
      </w:pPr>
      <w:r>
        <w:rPr>
          <w:bCs/>
          <w:b/>
        </w:rPr>
        <w:t xml:space="preserve">System Boundary:</w:t>
      </w:r>
      <w:r>
        <w:t xml:space="preserve"> </w:t>
      </w:r>
      <w:r>
        <w:t xml:space="preserve">A "factory_gate" system boundary has been applied. This typically includes raw material acquisition, material transport to manufacturing, and the manufacturing process itself. However, in this detailed PCF, a more comprehensive cradle-to-grave approach is adopted, encompassing all stages from raw material extraction through manufacturing, distribution, use, and end-of-life, to provide a complete picture of the product\'s environmental impact.</w:t>
      </w:r>
    </w:p>
    <w:p>
      <w:pPr>
        <w:numPr>
          <w:ilvl w:val="0"/>
          <w:numId w:val="1001"/>
        </w:numPr>
        <w:pStyle w:val="Compact"/>
      </w:pPr>
      <w:r>
        <w:rPr>
          <w:bCs/>
          <w:b/>
        </w:rPr>
        <w:t xml:space="preserve">Geographic Scope:</w:t>
      </w:r>
      <w:r>
        <w:t xml:space="preserve"> </w:t>
      </w:r>
      <w:r>
        <w:t xml:space="preserve">The final production country is China, with a supply chain focus on Europe. This dual focus helps to capture regional specificities in energy grids, transport efficiencies, and regulatory landscapes.</w:t>
      </w:r>
    </w:p>
    <w:p>
      <w:pPr>
        <w:numPr>
          <w:ilvl w:val="0"/>
          <w:numId w:val="1001"/>
        </w:numPr>
        <w:pStyle w:val="Compact"/>
      </w:pPr>
      <w:r>
        <w:rPr>
          <w:bCs/>
          <w:b/>
        </w:rPr>
        <w:t xml:space="preserve">Accounting Standard:</w:t>
      </w:r>
      <w:r>
        <w:t xml:space="preserve"> </w:t>
      </w:r>
      <w:r>
        <w:t xml:space="preserve">The assessment strictly follows the Greenhouse Gas (GHG) Protocol, ensuring a robust and internationally recognized methodology for categorizing and quantifying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parameters (e.g., mass, energy content) or economic value, depending on the specific process and data availability. For this report, a mass-based allocation is assumed for upstream material production.</w:t>
      </w:r>
    </w:p>
    <w:p>
      <w:r>
        <w:pict>
          <v:rect style="width:0;height:1.5pt" o:hralign="center" o:hrstd="t" o:hr="t"/>
        </w:pict>
      </w:r>
    </w:p>
    <w:bookmarkEnd w:id="23"/>
    <w:bookmarkStart w:id="29" w:name="Xdf6e96825677c2951218e7e4dcdf0092e79276b"/>
    <w:p>
      <w:pPr>
        <w:pStyle w:val="Heading2"/>
      </w:pPr>
      <w:r>
        <w:t xml:space="preserve">2. Mapping Lifecycle Stages &amp; 3. Data Collection</w:t>
      </w:r>
    </w:p>
    <w:p>
      <w:pPr>
        <w:pStyle w:val="FirstParagraph"/>
      </w:pPr>
      <w:r>
        <w:t xml:space="preserve">This section details the product\'s lifecycle and the primary and secondary data points collected for the analysis. Illustrative numerical values are provided for calculation purposes where the original parameter only specified a string placeholder, clearly indicating that these are assumed for demonstration.</w:t>
      </w:r>
    </w:p>
    <w:bookmarkStart w:id="24" w:name="Xea1af9d6a57038187de4bca8233eaa50169bf78"/>
    <w:p>
      <w:pPr>
        <w:pStyle w:val="Heading3"/>
      </w:pPr>
      <w:r>
        <w:t xml:space="preserve">2.1. Detailed Bill of Materials (BOM) - Upstream (Scope 3)</w:t>
      </w:r>
    </w:p>
    <w:p>
      <w:pPr>
        <w:pStyle w:val="FirstParagraph"/>
      </w:pPr>
      <w:r>
        <w:t xml:space="preserve">The detailed Bill of Materials (BOM) for ghfsshkozz (derived from \'nivprked\') is crucial for high-accuracy material impact calculation. The emissions for each component are directly sourced from the provided \'Total Carbon\' values within the BOM data.</w:t>
      </w:r>
    </w:p>
    <w:p>
      <w:pPr>
        <w:pStyle w:val="BodyText"/>
      </w:pPr>
      <w:r>
        <w:rPr>
          <w:bCs/>
          <w:b/>
        </w:rPr>
        <w:t xml:space="preserve">Illustrative BOM Data (based on \'nivprked\'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003</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004</w:t>
            </w:r>
          </w:p>
        </w:tc>
        <w:tc>
          <w:tcPr/>
          <w:p>
            <w:pPr>
              <w:pStyle w:val="Compact"/>
              <w:jc w:val="left"/>
            </w:pPr>
            <w:r>
              <w:t xml:space="preserve">Cardboard Packaging</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bl>
    <w:p>
      <w:pPr>
        <w:pStyle w:val="BodyText"/>
      </w:pPr>
      <w:r>
        <w:t xml:space="preserve">Total Material Carbon Footprint (Illustrative): 1.25 + 1.50 + 1.60 + 0.04 = 4.39 kg CO2e</w:t>
      </w:r>
    </w:p>
    <w:bookmarkEnd w:id="24"/>
    <w:bookmarkStart w:id="25" w:name="Xc4c33679bb8255801866d3e23a443c3e89b7713"/>
    <w:p>
      <w:pPr>
        <w:pStyle w:val="Heading3"/>
      </w:pPr>
      <w:r>
        <w:t xml:space="preserve">2.2. Production Phase - Manufacturing (Scope 1 &amp; 2)</w:t>
      </w:r>
    </w:p>
    <w:p>
      <w:pPr>
        <w:pStyle w:val="FirstParagraph"/>
      </w:pPr>
      <w:r>
        <w:t xml:space="preserve">The production phase includes energy consumption directly attributable to the manufacturing process.</w:t>
      </w:r>
    </w:p>
    <w:p>
      <w:pPr>
        <w:numPr>
          <w:ilvl w:val="0"/>
          <w:numId w:val="1002"/>
        </w:numPr>
        <w:pStyle w:val="Compact"/>
      </w:pPr>
      <w:r>
        <w:rPr>
          <w:bCs/>
          <w:b/>
        </w:rPr>
        <w:t xml:space="preserve">Energy Intensity (kWh/unit):</w:t>
      </w:r>
      <w:r>
        <w:t xml:space="preserve"> </w:t>
      </w:r>
      <w:r>
        <w:t xml:space="preserve">ddimftwifl (Illustrative: 15 kWh/unit)</w:t>
      </w:r>
    </w:p>
    <w:p>
      <w:pPr>
        <w:numPr>
          <w:ilvl w:val="0"/>
          <w:numId w:val="1002"/>
        </w:numPr>
        <w:pStyle w:val="Compact"/>
      </w:pPr>
      <w:r>
        <w:rPr>
          <w:bCs/>
          <w:b/>
        </w:rPr>
        <w:t xml:space="preserve">Renewable Energy Usage:</w:t>
      </w:r>
      <w:r>
        <w:t xml:space="preserve"> </w:t>
      </w:r>
      <w:r>
        <w:t xml:space="preserve">tufjnlwpmq (Illustrative: 50%)</w:t>
      </w:r>
    </w:p>
    <w:p>
      <w:pPr>
        <w:numPr>
          <w:ilvl w:val="0"/>
          <w:numId w:val="1002"/>
        </w:numPr>
        <w:pStyle w:val="Compact"/>
      </w:pPr>
      <w:r>
        <w:rPr>
          <w:bCs/>
          <w:b/>
        </w:rPr>
        <w:t xml:space="preserve">Emission Factor for Grid Electricity (China, Illustrative):</w:t>
      </w:r>
      <w:r>
        <w:t xml:space="preserve"> </w:t>
      </w:r>
      <w:r>
        <w:t xml:space="preserve">0.7 kg CO2e/kWh (Source: Assumed industry standard from Ecoinvent/DEFRA for regional grid mixes)</w:t>
      </w:r>
    </w:p>
    <w:bookmarkEnd w:id="25"/>
    <w:bookmarkStart w:id="26" w:name="Xb0bc29681464e03a5df0e560d8b9d60c85c0b18"/>
    <w:p>
      <w:pPr>
        <w:pStyle w:val="Heading3"/>
      </w:pPr>
      <w:r>
        <w:t xml:space="preserve">2.3. Transport &amp; Logistics - Upstream &amp; Downstream (Scope 3)</w:t>
      </w:r>
    </w:p>
    <w:p>
      <w:pPr>
        <w:pStyle w:val="FirstParagraph"/>
      </w:pPr>
      <w:r>
        <w:t xml:space="preserve">This covers the movement of raw materials and finished products.</w:t>
      </w:r>
    </w:p>
    <w:p>
      <w:pPr>
        <w:numPr>
          <w:ilvl w:val="0"/>
          <w:numId w:val="1003"/>
        </w:numPr>
        <w:pStyle w:val="Compact"/>
      </w:pPr>
      <w:r>
        <w:rPr>
          <w:bCs/>
          <w:b/>
        </w:rPr>
        <w:t xml:space="preserve">Primary Transport Mode:</w:t>
      </w:r>
      <w:r>
        <w:t xml:space="preserve"> </w:t>
      </w:r>
      <w:r>
        <w:t xml:space="preserve">Select Mode (Illustrative: Ocean Freight)</w:t>
      </w:r>
    </w:p>
    <w:p>
      <w:pPr>
        <w:numPr>
          <w:ilvl w:val="0"/>
          <w:numId w:val="1003"/>
        </w:numPr>
        <w:pStyle w:val="Compact"/>
      </w:pPr>
      <w:r>
        <w:rPr>
          <w:bCs/>
          <w:b/>
        </w:rPr>
        <w:t xml:space="preserve">Secondary/Regional Transport Mode:</w:t>
      </w:r>
      <w:r>
        <w:t xml:space="preserve"> </w:t>
      </w:r>
      <w:r>
        <w:t xml:space="preserve">Select Mode (Illustrative: Road Freight)</w:t>
      </w:r>
    </w:p>
    <w:p>
      <w:pPr>
        <w:numPr>
          <w:ilvl w:val="0"/>
          <w:numId w:val="1003"/>
        </w:numPr>
        <w:pStyle w:val="Compact"/>
      </w:pPr>
      <w:r>
        <w:rPr>
          <w:bCs/>
          <w:b/>
        </w:rPr>
        <w:t xml:space="preserve">Transport Distance:</w:t>
      </w:r>
      <w:r>
        <w:t xml:space="preserve"> </w:t>
      </w:r>
      <w:r>
        <w:t xml:space="preserve">vziungqztq (Illustrative: 10,000 km for Ocean Freight, 500 km for Road Freight)</w:t>
      </w:r>
    </w:p>
    <w:p>
      <w:pPr>
        <w:numPr>
          <w:ilvl w:val="0"/>
          <w:numId w:val="1003"/>
        </w:numPr>
        <w:pStyle w:val="Compact"/>
      </w:pPr>
      <w:r>
        <w:rPr>
          <w:bCs/>
          <w:b/>
        </w:rPr>
        <w:t xml:space="preserve">Last-Mile Delivery Channel:</w:t>
      </w:r>
      <w:r>
        <w:t xml:space="preserve"> </w:t>
      </w:r>
      <w:r>
        <w:t xml:space="preserve">Delivery Type (Illustrative: Parcel Delivery Service)</w:t>
      </w:r>
    </w:p>
    <w:p>
      <w:pPr>
        <w:numPr>
          <w:ilvl w:val="0"/>
          <w:numId w:val="1003"/>
        </w:numPr>
        <w:pStyle w:val="Compact"/>
      </w:pPr>
      <w:r>
        <w:rPr>
          <w:bCs/>
          <w:b/>
        </w:rPr>
        <w:t xml:space="preserve">Illustrative Emission Factors (per kg-km):</w:t>
      </w:r>
    </w:p>
    <w:p>
      <w:pPr>
        <w:numPr>
          <w:ilvl w:val="1"/>
          <w:numId w:val="1004"/>
        </w:numPr>
        <w:pStyle w:val="Compact"/>
      </w:pPr>
      <w:r>
        <w:t xml:space="preserve">Ocean Freight: 0.000005 kg CO2e/kg-km</w:t>
      </w:r>
    </w:p>
    <w:p>
      <w:pPr>
        <w:numPr>
          <w:ilvl w:val="1"/>
          <w:numId w:val="1004"/>
        </w:numPr>
        <w:pStyle w:val="Compact"/>
      </w:pPr>
      <w:r>
        <w:t xml:space="preserve">Road Freight: 0.0001 kg CO2e/kg-km</w:t>
      </w:r>
    </w:p>
    <w:p>
      <w:pPr>
        <w:numPr>
          <w:ilvl w:val="1"/>
          <w:numId w:val="1004"/>
        </w:numPr>
        <w:pStyle w:val="Compact"/>
      </w:pPr>
      <w:r>
        <w:t xml:space="preserve">Last-Mile Delivery (per unit): 0.3 kg CO2e/delivery</w:t>
      </w:r>
    </w:p>
    <w:p>
      <w:pPr>
        <w:numPr>
          <w:ilvl w:val="0"/>
          <w:numId w:val="1003"/>
        </w:numPr>
        <w:pStyle w:val="Compact"/>
      </w:pPr>
      <w:r>
        <w:rPr>
          <w:bCs/>
          <w:b/>
        </w:rPr>
        <w:t xml:space="preserve">Product Mass (Assumed for transport calculation):</w:t>
      </w:r>
      <w:r>
        <w:t xml:space="preserve"> </w:t>
      </w:r>
      <w:r>
        <w:t xml:space="preserve">~1 kg/unit</w:t>
      </w:r>
    </w:p>
    <w:bookmarkEnd w:id="26"/>
    <w:bookmarkStart w:id="27" w:name="use-phase---downstream-scope-3"/>
    <w:p>
      <w:pPr>
        <w:pStyle w:val="Heading3"/>
      </w:pPr>
      <w:r>
        <w:t xml:space="preserve">2.4. Use Phase - Downstream (Scope 3)</w:t>
      </w:r>
    </w:p>
    <w:p>
      <w:pPr>
        <w:pStyle w:val="FirstParagraph"/>
      </w:pPr>
      <w:r>
        <w:t xml:space="preserve">Emissions from product usage over its lifespan.</w:t>
      </w:r>
    </w:p>
    <w:p>
      <w:pPr>
        <w:numPr>
          <w:ilvl w:val="0"/>
          <w:numId w:val="1005"/>
        </w:numPr>
        <w:pStyle w:val="Compact"/>
      </w:pPr>
      <w:r>
        <w:rPr>
          <w:bCs/>
          <w:b/>
        </w:rPr>
        <w:t xml:space="preserve">Product Lifespan:</w:t>
      </w:r>
      <w:r>
        <w:t xml:space="preserve"> </w:t>
      </w:r>
      <w:r>
        <w:t xml:space="preserve">mitvxvtdjv (Illustrative: 5 years)</w:t>
      </w:r>
    </w:p>
    <w:p>
      <w:pPr>
        <w:numPr>
          <w:ilvl w:val="0"/>
          <w:numId w:val="1005"/>
        </w:numPr>
        <w:pStyle w:val="Compact"/>
      </w:pPr>
      <w:r>
        <w:rPr>
          <w:bCs/>
          <w:b/>
        </w:rPr>
        <w:t xml:space="preserve">Energy Consumption in Use:</w:t>
      </w:r>
      <w:r>
        <w:t xml:space="preserve"> </w:t>
      </w:r>
      <w:r>
        <w:t xml:space="preserve">grxpqudqez (Illustrative: 20 kWh/year)</w:t>
      </w:r>
    </w:p>
    <w:p>
      <w:pPr>
        <w:numPr>
          <w:ilvl w:val="0"/>
          <w:numId w:val="1005"/>
        </w:numPr>
        <w:pStyle w:val="Compact"/>
      </w:pPr>
      <w:r>
        <w:rPr>
          <w:bCs/>
          <w:b/>
        </w:rPr>
        <w:t xml:space="preserve">Emission Factor for Consumer Electricity (Europe, Illustrative):</w:t>
      </w:r>
      <w:r>
        <w:t xml:space="preserve"> </w:t>
      </w:r>
      <w:r>
        <w:t xml:space="preserve">0.25 kg CO2e/kWh (Source: Assumed average EU grid mix from Ecoinvent/DEFRA)</w:t>
      </w:r>
    </w:p>
    <w:bookmarkEnd w:id="27"/>
    <w:bookmarkStart w:id="28" w:name="end-of-life-eol---downstream-scope-3"/>
    <w:p>
      <w:pPr>
        <w:pStyle w:val="Heading3"/>
      </w:pPr>
      <w:r>
        <w:t xml:space="preserve">2.5. End-of-Life (EoL) - Downstream (Scope 3)</w:t>
      </w:r>
    </w:p>
    <w:p>
      <w:pPr>
        <w:pStyle w:val="FirstParagraph"/>
      </w:pPr>
      <w:r>
        <w:t xml:space="preserve">Scenarios for the product\'s disposal or recovery.</w:t>
      </w:r>
    </w:p>
    <w:p>
      <w:pPr>
        <w:numPr>
          <w:ilvl w:val="0"/>
          <w:numId w:val="1006"/>
        </w:numPr>
        <w:pStyle w:val="Compact"/>
      </w:pPr>
      <w:r>
        <w:rPr>
          <w:bCs/>
          <w:b/>
        </w:rPr>
        <w:t xml:space="preserve">Recyclability Percentage:</w:t>
      </w:r>
      <w:r>
        <w:t xml:space="preserve"> </w:t>
      </w:r>
      <w:r>
        <w:t xml:space="preserve">meodjxyxip (Illustrative: 70%)</w:t>
      </w:r>
    </w:p>
    <w:p>
      <w:pPr>
        <w:numPr>
          <w:ilvl w:val="0"/>
          <w:numId w:val="1006"/>
        </w:numPr>
        <w:pStyle w:val="Compact"/>
      </w:pPr>
      <w:r>
        <w:rPr>
          <w:bCs/>
          <w:b/>
        </w:rPr>
        <w:t xml:space="preserve">Circular/Take-back Programs:</w:t>
      </w:r>
      <w:r>
        <w:t xml:space="preserve"> </w:t>
      </w:r>
      <w:r>
        <w:t xml:space="preserve">mvzkzhudnq (Illustrative: Yes, product take-back program active)</w:t>
      </w:r>
    </w:p>
    <w:p>
      <w:pPr>
        <w:numPr>
          <w:ilvl w:val="0"/>
          <w:numId w:val="1006"/>
        </w:numPr>
        <w:pStyle w:val="Compact"/>
      </w:pPr>
      <w:r>
        <w:rPr>
          <w:bCs/>
          <w:b/>
        </w:rPr>
        <w:t xml:space="preserve">Illustrative EoL Emission Factors/Credits:</w:t>
      </w:r>
    </w:p>
    <w:p>
      <w:pPr>
        <w:numPr>
          <w:ilvl w:val="1"/>
          <w:numId w:val="1007"/>
        </w:numPr>
        <w:pStyle w:val="Compact"/>
      </w:pPr>
      <w:r>
        <w:t xml:space="preserve">Disposal (non-recycled): 0.5 kg CO2e/kg</w:t>
      </w:r>
    </w:p>
    <w:p>
      <w:pPr>
        <w:numPr>
          <w:ilvl w:val="1"/>
          <w:numId w:val="1007"/>
        </w:numPr>
        <w:pStyle w:val="Compact"/>
      </w:pPr>
      <w:r>
        <w:t xml:space="preserve">Recycling Credit Factor: 50% of original material emissions avoided for recycled content.</w:t>
      </w:r>
    </w:p>
    <w:p>
      <w:r>
        <w:pict>
          <v:rect style="width:0;height:1.5pt" o:hralign="center" o:hrstd="t" o:hr="t"/>
        </w:pict>
      </w:r>
    </w:p>
    <w:bookmarkEnd w:id="28"/>
    <w:bookmarkEnd w:id="29"/>
    <w:bookmarkStart w:id="37" w:name="emission-calculation"/>
    <w:p>
      <w:pPr>
        <w:pStyle w:val="Heading2"/>
      </w:pPr>
      <w:r>
        <w:t xml:space="preserve">4. Emission Calculation</w:t>
      </w:r>
    </w:p>
    <w:p>
      <w:pPr>
        <w:pStyle w:val="FirstParagraph"/>
      </w:pPr>
      <w:r>
        <w:t xml:space="preserve">Emissions are calculated for each lifecycle stage, categorized according to the GHG Protocol (Scope 1, 2, and 3). Industry-standard emission factors (e.g., from Ecoinvent/DEFRA) are applied as described in the data collection phase.</w:t>
      </w:r>
    </w:p>
    <w:bookmarkStart w:id="30" w:name="scope-1-direct-emissions"/>
    <w:p>
      <w:pPr>
        <w:pStyle w:val="Heading3"/>
      </w:pPr>
      <w:r>
        <w:t xml:space="preserve">4.1. Scope 1: Direct Emissions</w:t>
      </w:r>
    </w:p>
    <w:p>
      <w:pPr>
        <w:pStyle w:val="FirstParagraph"/>
      </w:pPr>
      <w:r>
        <w:t xml:space="preserve">Given the \'factory_gate\' boundary and the parameters, direct emissions from on-site fuel combustion are not explicitly provided. For a full PCF, this would include any direct fuel consumption for manufacturing processes not covered by purchased electricity. For this report, Scope 1 is considered negligible as primary energy input is electricity.</w:t>
      </w:r>
    </w:p>
    <w:bookmarkEnd w:id="30"/>
    <w:bookmarkStart w:id="31" w:name="Xe578209a49eabfde2edaf977ad2b592c314c527"/>
    <w:p>
      <w:pPr>
        <w:pStyle w:val="Heading3"/>
      </w:pPr>
      <w:r>
        <w:t xml:space="preserve">4.2. Scope 2: Energy Indirect Emissions (Purchased Electricity)</w:t>
      </w:r>
    </w:p>
    <w:p>
      <w:pPr>
        <w:pStyle w:val="FirstParagraph"/>
      </w:pPr>
      <w:r>
        <w:t xml:space="preserve">Emissions from purchased electricity for the manufacturing of ghfsshkozz.</w:t>
      </w:r>
    </w:p>
    <w:p>
      <w:pPr>
        <w:numPr>
          <w:ilvl w:val="0"/>
          <w:numId w:val="1008"/>
        </w:numPr>
        <w:pStyle w:val="Compact"/>
      </w:pPr>
      <w:r>
        <w:t xml:space="preserve">Total Electricity Required: 15 kWh/unit (ddimftwifl)</w:t>
      </w:r>
    </w:p>
    <w:p>
      <w:pPr>
        <w:numPr>
          <w:ilvl w:val="0"/>
          <w:numId w:val="1008"/>
        </w:numPr>
        <w:pStyle w:val="Compact"/>
      </w:pPr>
      <w:r>
        <w:t xml:space="preserve">Renewable Energy Usage: 50% (tufjnlwpmq)</w:t>
      </w:r>
    </w:p>
    <w:p>
      <w:pPr>
        <w:numPr>
          <w:ilvl w:val="0"/>
          <w:numId w:val="1008"/>
        </w:numPr>
        <w:pStyle w:val="Compact"/>
      </w:pPr>
      <w:r>
        <w:t xml:space="preserve">Non-Renewable Electricity: 15 kWh/unit * (1 - 0.50) = 7.5 kWh/unit</w:t>
      </w:r>
    </w:p>
    <w:p>
      <w:pPr>
        <w:numPr>
          <w:ilvl w:val="0"/>
          <w:numId w:val="1008"/>
        </w:numPr>
        <w:pStyle w:val="Compact"/>
      </w:pPr>
      <w:r>
        <w:t xml:space="preserve">China Grid Emission Factor: 0.7 kg CO2e/kWh</w:t>
      </w:r>
    </w:p>
    <w:p>
      <w:pPr>
        <w:numPr>
          <w:ilvl w:val="0"/>
          <w:numId w:val="1008"/>
        </w:numPr>
        <w:pStyle w:val="Compact"/>
      </w:pPr>
      <w:r>
        <w:rPr>
          <w:bCs/>
          <w:b/>
        </w:rPr>
        <w:t xml:space="preserve">Scope 2 Emissions = 7.5 kWh/unit * 0.7 kg CO2e/kWh = 5.25 kg CO2e/unit</w:t>
      </w:r>
    </w:p>
    <w:bookmarkEnd w:id="31"/>
    <w:bookmarkStart w:id="34" w:name="scope-3-value-chain-indirect-emissions"/>
    <w:p>
      <w:pPr>
        <w:pStyle w:val="Heading3"/>
      </w:pPr>
      <w:r>
        <w:t xml:space="preserve">4.3. Scope 3: Value Chain Indirect Emissions</w:t>
      </w:r>
    </w:p>
    <w:p>
      <w:pPr>
        <w:pStyle w:val="FirstParagraph"/>
      </w:pPr>
      <w:r>
        <w:t xml:space="preserve">This scope encompasses emissions from upstream (materials, transport) and downstream (use phase, end-of-life) activities. The 2026 requirements emphasize at least 95% coverage for Scope 3 reporting, which this detailed analysis aims to achieve by covering all significant lifecycle stages.</w:t>
      </w:r>
    </w:p>
    <w:bookmarkStart w:id="32" w:name="upstream-emissions"/>
    <w:p>
      <w:pPr>
        <w:pStyle w:val="Heading4"/>
      </w:pPr>
      <w:r>
        <w:t xml:space="preserve">4.3.1. Upstream Emissions</w:t>
      </w:r>
    </w:p>
    <w:p>
      <w:pPr>
        <w:numPr>
          <w:ilvl w:val="0"/>
          <w:numId w:val="1009"/>
        </w:numPr>
        <w:pStyle w:val="Compact"/>
      </w:pPr>
      <w:r>
        <w:rPr>
          <w:bCs/>
          <w:b/>
        </w:rPr>
        <w:t xml:space="preserve">Materials (Category 1: Purchased Goods and Services):</w:t>
      </w:r>
    </w:p>
    <w:p>
      <w:pPr>
        <w:numPr>
          <w:ilvl w:val="1"/>
          <w:numId w:val="1010"/>
        </w:numPr>
        <w:pStyle w:val="Compact"/>
      </w:pPr>
      <w:r>
        <w:t xml:space="preserve">Total Carbon from Illustrative BOM: 4.39 kg CO2e/unit</w:t>
      </w:r>
    </w:p>
    <w:p>
      <w:pPr>
        <w:numPr>
          <w:ilvl w:val="0"/>
          <w:numId w:val="1000"/>
        </w:numPr>
        <w:pStyle w:val="Compact"/>
      </w:pPr>
      <w:r>
        <w:rPr>
          <w:bCs/>
          <w:b/>
        </w:rPr>
        <w:t xml:space="preserve">Sub-total Materials = 4.39 kg CO2e/unit</w:t>
      </w:r>
    </w:p>
    <w:p>
      <w:pPr>
        <w:numPr>
          <w:ilvl w:val="0"/>
          <w:numId w:val="1009"/>
        </w:numPr>
        <w:pStyle w:val="Compact"/>
      </w:pPr>
      <w:r>
        <w:rPr>
          <w:bCs/>
          <w:b/>
        </w:rPr>
        <w:t xml:space="preserve">Transport (Category 4: Upstream Transportation and Distribution):</w:t>
      </w:r>
    </w:p>
    <w:p>
      <w:pPr>
        <w:numPr>
          <w:ilvl w:val="1"/>
          <w:numId w:val="1011"/>
        </w:numPr>
        <w:pStyle w:val="Compact"/>
      </w:pPr>
      <w:r>
        <w:t xml:space="preserve">Product Mass: 1 kg/unit (assumed)</w:t>
      </w:r>
    </w:p>
    <w:p>
      <w:pPr>
        <w:numPr>
          <w:ilvl w:val="1"/>
          <w:numId w:val="1011"/>
        </w:numPr>
        <w:pStyle w:val="Compact"/>
      </w:pPr>
      <w:r>
        <w:t xml:space="preserve">Ocean Freight: 1 kg * 10,000 km * 0.000005 kg CO2e/kg-km = 0.05 kg CO2e/unit</w:t>
      </w:r>
    </w:p>
    <w:p>
      <w:pPr>
        <w:numPr>
          <w:ilvl w:val="1"/>
          <w:numId w:val="1011"/>
        </w:numPr>
        <w:pStyle w:val="Compact"/>
      </w:pPr>
      <w:r>
        <w:t xml:space="preserve">Road Freight: 1 kg * 500 km * 0.0001 kg CO2e/kg-km = 0.05 kg CO2e/unit</w:t>
      </w:r>
    </w:p>
    <w:p>
      <w:pPr>
        <w:numPr>
          <w:ilvl w:val="1"/>
          <w:numId w:val="1011"/>
        </w:numPr>
        <w:pStyle w:val="Compact"/>
      </w:pPr>
      <w:r>
        <w:t xml:space="preserve">Last-Mile Delivery: 0.3 kg CO2e/unit</w:t>
      </w:r>
    </w:p>
    <w:p>
      <w:pPr>
        <w:numPr>
          <w:ilvl w:val="0"/>
          <w:numId w:val="1000"/>
        </w:numPr>
        <w:pStyle w:val="Compact"/>
      </w:pPr>
      <w:r>
        <w:rPr>
          <w:bCs/>
          <w:b/>
        </w:rPr>
        <w:t xml:space="preserve">Sub-total Transport = 0.05 + 0.05 + 0.3 = 0.40 kg CO2e/unit</w:t>
      </w:r>
    </w:p>
    <w:bookmarkEnd w:id="32"/>
    <w:bookmarkStart w:id="33" w:name="downstream-emissions"/>
    <w:p>
      <w:pPr>
        <w:pStyle w:val="Heading4"/>
      </w:pPr>
      <w:r>
        <w:t xml:space="preserve">4.3.2. Downstream Emissions</w:t>
      </w:r>
    </w:p>
    <w:p>
      <w:pPr>
        <w:numPr>
          <w:ilvl w:val="0"/>
          <w:numId w:val="1012"/>
        </w:numPr>
        <w:pStyle w:val="Compact"/>
      </w:pPr>
      <w:r>
        <w:rPr>
          <w:bCs/>
          <w:b/>
        </w:rPr>
        <w:t xml:space="preserve">Use Phase (Category 11: Use of Sold Products):</w:t>
      </w:r>
    </w:p>
    <w:p>
      <w:pPr>
        <w:numPr>
          <w:ilvl w:val="1"/>
          <w:numId w:val="1013"/>
        </w:numPr>
        <w:pStyle w:val="Compact"/>
      </w:pPr>
      <w:r>
        <w:t xml:space="preserve">Product Lifespan: 5 years (mitvxvtdjv)</w:t>
      </w:r>
    </w:p>
    <w:p>
      <w:pPr>
        <w:numPr>
          <w:ilvl w:val="1"/>
          <w:numId w:val="1013"/>
        </w:numPr>
        <w:pStyle w:val="Compact"/>
      </w:pPr>
      <w:r>
        <w:t xml:space="preserve">Energy Consumption: 20 kWh/year (grxpqudqez)</w:t>
      </w:r>
    </w:p>
    <w:p>
      <w:pPr>
        <w:numPr>
          <w:ilvl w:val="1"/>
          <w:numId w:val="1013"/>
        </w:numPr>
        <w:pStyle w:val="Compact"/>
      </w:pPr>
      <w:r>
        <w:t xml:space="preserve">Total Energy Consumption: 20 kWh/year * 5 years = 100 kWh/unit</w:t>
      </w:r>
    </w:p>
    <w:p>
      <w:pPr>
        <w:numPr>
          <w:ilvl w:val="1"/>
          <w:numId w:val="1013"/>
        </w:numPr>
        <w:pStyle w:val="Compact"/>
      </w:pPr>
      <w:r>
        <w:t xml:space="preserve">European Grid Emission Factor: 0.25 kg CO2e/kWh</w:t>
      </w:r>
    </w:p>
    <w:p>
      <w:pPr>
        <w:numPr>
          <w:ilvl w:val="0"/>
          <w:numId w:val="1000"/>
        </w:numPr>
        <w:pStyle w:val="Compact"/>
      </w:pPr>
      <w:r>
        <w:rPr>
          <w:bCs/>
          <w:b/>
        </w:rPr>
        <w:t xml:space="preserve">Sub-total Use Phase = 100 kWh/unit * 0.25 kg CO2e/kWh = 25.00 kg CO2e/unit</w:t>
      </w:r>
    </w:p>
    <w:p>
      <w:pPr>
        <w:numPr>
          <w:ilvl w:val="0"/>
          <w:numId w:val="1012"/>
        </w:numPr>
        <w:pStyle w:val="Compact"/>
      </w:pPr>
      <w:r>
        <w:rPr>
          <w:bCs/>
          <w:b/>
        </w:rPr>
        <w:t xml:space="preserve">End-of-Life (Category 12: End-of-Life Treatment of Sold Products):</w:t>
      </w:r>
    </w:p>
    <w:p>
      <w:pPr>
        <w:numPr>
          <w:ilvl w:val="1"/>
          <w:numId w:val="1014"/>
        </w:numPr>
        <w:pStyle w:val="Compact"/>
      </w:pPr>
      <w:r>
        <w:t xml:space="preserve">Total Initial Material Emissions (from BOM): 4.39 kg CO2e</w:t>
      </w:r>
    </w:p>
    <w:p>
      <w:pPr>
        <w:numPr>
          <w:ilvl w:val="1"/>
          <w:numId w:val="1014"/>
        </w:numPr>
        <w:pStyle w:val="Compact"/>
      </w:pPr>
      <w:r>
        <w:t xml:space="preserve">Recyclability: 70% (meodjxyxip)</w:t>
      </w:r>
    </w:p>
    <w:p>
      <w:pPr>
        <w:numPr>
          <w:ilvl w:val="1"/>
          <w:numId w:val="1014"/>
        </w:numPr>
        <w:pStyle w:val="Compact"/>
      </w:pPr>
      <w:r>
        <w:t xml:space="preserve">Recycling Credit: 4.39 kg CO2e * 0.70 * 0.5 (illustrative credit factor) = -1.5365 kg CO2e/unit</w:t>
      </w:r>
    </w:p>
    <w:p>
      <w:pPr>
        <w:numPr>
          <w:ilvl w:val="1"/>
          <w:numId w:val="1014"/>
        </w:numPr>
        <w:pStyle w:val="Compact"/>
      </w:pPr>
      <w:r>
        <w:t xml:space="preserve">Disposal Emissions (non-recycled portion): (1 kg product * (1 - 0.70)) * 0.5 kg CO2e/kg = 0.15 kg CO2e/unit</w:t>
      </w:r>
    </w:p>
    <w:p>
      <w:pPr>
        <w:numPr>
          <w:ilvl w:val="0"/>
          <w:numId w:val="1000"/>
        </w:numPr>
        <w:pStyle w:val="Compact"/>
      </w:pPr>
      <w:r>
        <w:rPr>
          <w:bCs/>
          <w:b/>
        </w:rPr>
        <w:t xml:space="preserve">Sub-total End-of-Life = -1.5365 + 0.15 = -1.3865 kg CO2e/unit</w:t>
      </w:r>
      <w:r>
        <w:t xml:space="preserve"> </w:t>
      </w:r>
      <w:r>
        <w:t xml:space="preserve">(Net reduction due to recycling credit)</w:t>
      </w:r>
    </w:p>
    <w:bookmarkEnd w:id="33"/>
    <w:bookmarkEnd w:id="34"/>
    <w:bookmarkStart w:id="35" w:name="X32467661f1b22d74c703ec57156f8d66f2dccc1"/>
    <w:p>
      <w:pPr>
        <w:pStyle w:val="Heading3"/>
      </w:pPr>
      <w:r>
        <w:t xml:space="preserve">4.4. Application of 2026 LSR Update (Land Sector and Removals)</w:t>
      </w:r>
    </w:p>
    <w:p>
      <w:pPr>
        <w:pStyle w:val="FirstParagraph"/>
      </w:pPr>
      <w:r>
        <w:t xml:space="preserve">While specific land-use changes directly attributable to ghfsshkozz\'s production were not explicitly detailed in the parameters, the 2026 LSR Standard mandates the inclusion of land sector emissions and carbon removals. For this product, if any raw materials (e.g., bio-based plastics, paper) originate from land-use activities that cause direct or indirect land-use change, their associated emissions or removals would be accounted for here. Similarly, if take-back programs lead to carbon sequestration (e.g., through biochar from waste), these removals would be quantified. In this report, assuming no direct land-use change is specifically tied to the listed BOM, future iterations should ensure such considerations are integrated if applicable. Circular economy impacts through the \'mvzkzhudnq\' program are acknowledged in the End-of-Life credits.</w:t>
      </w:r>
    </w:p>
    <w:bookmarkEnd w:id="35"/>
    <w:bookmarkStart w:id="36" w:name="total-product-carbon-footprint-pcf"/>
    <w:p>
      <w:pPr>
        <w:pStyle w:val="Heading3"/>
      </w:pPr>
      <w:r>
        <w:t xml:space="preserve">4.5.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(Upstream)</w:t>
            </w:r>
          </w:p>
        </w:tc>
        <w:tc>
          <w:tcPr/>
          <w:p>
            <w:pPr>
              <w:pStyle w:val="Compact"/>
              <w:jc w:val="left"/>
            </w:pPr>
            <w:r>
              <w:t xml:space="preserve">Scope 3 (Category 1)</w:t>
            </w:r>
          </w:p>
        </w:tc>
        <w:tc>
          <w:tcPr/>
          <w:p>
            <w:pPr>
              <w:pStyle w:val="Compact"/>
              <w:jc w:val="left"/>
            </w:pPr>
            <w:r>
              <w:t xml:space="preserve">4.39</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5.25</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0.40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-1.39</w:t>
            </w:r>
          </w:p>
        </w:tc>
      </w:tr>
      <w:tr>
        <w:tc>
          <w:tcPr/>
          <w:p>
            <w:pPr>
              <w:pStyle w:val="Compact"/>
              <w:jc w:val="left"/>
            </w:pPr>
            <w:r>
              <w:t xml:space="preserve">TOTAL PRODUCT CARBON FOOTPRINT</w:t>
            </w:r>
          </w:p>
        </w:tc>
        <w:tc>
          <w:tcPr/>
          <w:p>
            <w:pPr>
              <w:pStyle w:val="Compact"/>
            </w:pPr>
          </w:p>
        </w:tc>
        <w:tc>
          <w:tcPr/>
          <w:p>
            <w:pPr>
              <w:pStyle w:val="Compact"/>
              <w:jc w:val="left"/>
            </w:pPr>
            <w:r>
              <w:t xml:space="preserve">33.65</w:t>
            </w:r>
          </w:p>
        </w:tc>
      </w:tr>
    </w:tbl>
    <w:p>
      <w:pPr>
        <w:pStyle w:val="BodyText"/>
      </w:pPr>
      <w:r>
        <w:rPr>
          <w:bCs/>
          <w:b/>
        </w:rPr>
        <w:t xml:space="preserve">Total PCF for ghfsshkozz (Illustrative) = 33.65 kg CO2e per unit.</w:t>
      </w:r>
    </w:p>
    <w:p>
      <w:r>
        <w:pict>
          <v:rect style="width:0;height:1.5pt" o:hralign="center" o:hrstd="t" o:hr="t"/>
        </w:pict>
      </w:r>
    </w:p>
    <w:bookmarkEnd w:id="36"/>
    <w:bookmarkEnd w:id="37"/>
    <w:bookmarkStart w:id="41" w:name="review-reporting"/>
    <w:p>
      <w:pPr>
        <w:pStyle w:val="Heading2"/>
      </w:pPr>
      <w:r>
        <w:t xml:space="preserve">5. Review &amp; Reporting</w:t>
      </w:r>
    </w:p>
    <w:p>
      <w:pPr>
        <w:pStyle w:val="FirstParagraph"/>
      </w:pPr>
      <w:r>
        <w:t xml:space="preserve">This section summarizes the findings, identifies emission hotspots, and provides recommendations.</w:t>
      </w:r>
    </w:p>
    <w:bookmarkStart w:id="38" w:name="emission-hotspots"/>
    <w:p>
      <w:pPr>
        <w:pStyle w:val="Heading3"/>
      </w:pPr>
      <w:r>
        <w:t xml:space="preserve">5.1. Emission Hotspots</w:t>
      </w:r>
    </w:p>
    <w:p>
      <w:pPr>
        <w:pStyle w:val="FirstParagraph"/>
      </w:pPr>
      <w:r>
        <w:t xml:space="preserve">Based on the illustrative calculations, the primary emission hotspots for ghfsshkozz are:</w:t>
      </w:r>
    </w:p>
    <w:p>
      <w:pPr>
        <w:numPr>
          <w:ilvl w:val="0"/>
          <w:numId w:val="1015"/>
        </w:numPr>
        <w:pStyle w:val="Compact"/>
      </w:pPr>
      <w:r>
        <w:rPr>
          <w:bCs/>
          <w:b/>
        </w:rPr>
        <w:t xml:space="preserve">Use Phase (25.00 kg CO2e):</w:t>
      </w:r>
      <w:r>
        <w:t xml:space="preserve"> </w:t>
      </w:r>
      <w:r>
        <w:t xml:space="preserve">This stage contributes the largest portion of the product\'s carbon footprint, primarily due to the energy consumption over its 5-year lifespan. This highlights the importance of improving energy efficiency during use.</w:t>
      </w:r>
    </w:p>
    <w:p>
      <w:pPr>
        <w:numPr>
          <w:ilvl w:val="0"/>
          <w:numId w:val="1015"/>
        </w:numPr>
        <w:pStyle w:val="Compact"/>
      </w:pPr>
      <w:r>
        <w:rPr>
          <w:bCs/>
          <w:b/>
        </w:rPr>
        <w:t xml:space="preserve">Production Energy (5.25 kg CO2e):</w:t>
      </w:r>
      <w:r>
        <w:t xml:space="preserve"> </w:t>
      </w:r>
      <w:r>
        <w:t xml:space="preserve">While 50% renewable energy is used, the remaining grid electricity from China\'s relatively carbon-intensive grid still contributes significantly.</w:t>
      </w:r>
    </w:p>
    <w:p>
      <w:pPr>
        <w:numPr>
          <w:ilvl w:val="0"/>
          <w:numId w:val="1015"/>
        </w:numPr>
        <w:pStyle w:val="Compact"/>
      </w:pPr>
      <w:r>
        <w:rPr>
          <w:bCs/>
          <w:b/>
        </w:rPr>
        <w:t xml:space="preserve">Materials (4.39 kg CO2e):</w:t>
      </w:r>
      <w:r>
        <w:t xml:space="preserve"> </w:t>
      </w:r>
      <w:r>
        <w:t xml:space="preserve">The raw materials, particularly the circuit board and lithium battery, represent a substantial impact, underscoring the need for sustainable material sourcing and design.</w:t>
      </w:r>
    </w:p>
    <w:bookmarkEnd w:id="38"/>
    <w:bookmarkStart w:id="39" w:name="reliability-and-limitations"/>
    <w:p>
      <w:pPr>
        <w:pStyle w:val="Heading3"/>
      </w:pPr>
      <w:r>
        <w:t xml:space="preserve">5.2. Reliability and Limitations</w:t>
      </w:r>
    </w:p>
    <w:p>
      <w:pPr>
        <w:pStyle w:val="FirstParagraph"/>
      </w:pPr>
      <w:r>
        <w:t xml:space="preserve">The reliability of this PCF is contingent on the accuracy and completeness of the input data. Where specific numerical parameters were not provided in the prompt (e.g., exact transport distances in km, specific energy consumption in kWh), illustrative values and general industry-average emission factors have been applied. A full PCF would require primary data from erxqgijwyp and its supply chain partners for precise quantification. The 95% Scope 3 coverage target is addressed by including all relevant lifecycle stages, but precise quantification relies on granular data for each category.</w:t>
      </w:r>
    </w:p>
    <w:bookmarkEnd w:id="39"/>
    <w:bookmarkStart w:id="40" w:name="X788fbff7c021e2a678ac07c45b3966641b0fc80"/>
    <w:p>
      <w:pPr>
        <w:pStyle w:val="Heading3"/>
      </w:pPr>
      <w:r>
        <w:t xml:space="preserve">5.3. Recommendations for Carbon Footprint Reduction</w:t>
      </w:r>
    </w:p>
    <w:p>
      <w:pPr>
        <w:numPr>
          <w:ilvl w:val="0"/>
          <w:numId w:val="1016"/>
        </w:numPr>
        <w:pStyle w:val="Compact"/>
      </w:pPr>
      <w:r>
        <w:rPr>
          <w:bCs/>
          <w:b/>
        </w:rPr>
        <w:t xml:space="preserve">Improve Use Phase Energy Efficiency:</w:t>
      </w:r>
      <w:r>
        <w:t xml:space="preserve"> </w:t>
      </w:r>
      <w:r>
        <w:t xml:space="preserve">Focus on designing ghfsshkozz to be more energy-efficient during its operational lifespan. This could involve incorporating lower-power components or implementing smart energy-saving features.</w:t>
      </w:r>
    </w:p>
    <w:p>
      <w:pPr>
        <w:numPr>
          <w:ilvl w:val="0"/>
          <w:numId w:val="1016"/>
        </w:numPr>
        <w:pStyle w:val="Compact"/>
      </w:pPr>
      <w:r>
        <w:rPr>
          <w:bCs/>
          <w:b/>
        </w:rPr>
        <w:t xml:space="preserve">Increase Renewable Energy Sourcing:</w:t>
      </w:r>
      <w:r>
        <w:t xml:space="preserve"> </w:t>
      </w:r>
      <w:r>
        <w:t xml:space="preserve">Continue and expand the use of renewable energy at manufacturing facilities. Further investment in or procurement of 100% renewable energy for production in China would significantly reduce Scope 2 emissions.</w:t>
      </w:r>
    </w:p>
    <w:p>
      <w:pPr>
        <w:numPr>
          <w:ilvl w:val="0"/>
          <w:numId w:val="1016"/>
        </w:numPr>
        <w:pStyle w:val="Compact"/>
      </w:pPr>
      <w:r>
        <w:rPr>
          <w:bCs/>
          <w:b/>
        </w:rPr>
        <w:t xml:space="preserve">Sustainable Material Sourcing and Design:</w:t>
      </w:r>
      <w:r>
        <w:t xml:space="preserve"> </w:t>
      </w:r>
      <w:r>
        <w:t xml:space="preserve">Investigate alternative materials with lower embodied carbon for components like the plastic casing, circuit board, and battery. Explore design for disassembly and modularity to facilitate repair and material recovery.</w:t>
      </w:r>
    </w:p>
    <w:p>
      <w:pPr>
        <w:numPr>
          <w:ilvl w:val="0"/>
          <w:numId w:val="1016"/>
        </w:numPr>
        <w:pStyle w:val="Compact"/>
      </w:pPr>
      <w:r>
        <w:rPr>
          <w:bCs/>
          <w:b/>
        </w:rPr>
        <w:t xml:space="preserve">Optimize Logistics:</w:t>
      </w:r>
      <w:r>
        <w:t xml:space="preserve"> </w:t>
      </w:r>
      <w:r>
        <w:t xml:space="preserve">While transport is a smaller contributor, further optimization of logistics routes and modes (e.g., shifting from road to rail/sea where feasible for shorter distances, optimizing load factors) can still yield reductions.</w:t>
      </w:r>
    </w:p>
    <w:p>
      <w:pPr>
        <w:numPr>
          <w:ilvl w:val="0"/>
          <w:numId w:val="1016"/>
        </w:numPr>
        <w:pStyle w:val="Compact"/>
      </w:pPr>
      <w:r>
        <w:rPr>
          <w:bCs/>
          <w:b/>
        </w:rPr>
        <w:t xml:space="preserve">Enhance Circularity:</w:t>
      </w:r>
      <w:r>
        <w:t xml:space="preserve"> </w:t>
      </w:r>
      <w:r>
        <w:t xml:space="preserve">Leverage and expand the existing \'mvzkzhudnq\' circular/take-back programs. Maximizing the recyclability (meodjxyxip) and ensuring effective collection and processing of materials at end-of-life can lead to greater carbon credits and reduced virgin material demand.</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ghfsshkozz</dc:title>
  <dc:creator/>
  <dc:description>Detailed Product Carbon Footprint (PCF) analysis report for ghfsshkozz, conducted by fodjnsoyyl for erxqgijwyp, adhering to GHG Protocol standards and 2026 LSR updates.</dc:description>
  <dc:language>en</dc:language>
  <cp:keywords/>
  <dcterms:created xsi:type="dcterms:W3CDTF">2026-05-30T15:54:10Z</dcterms:created>
  <dcterms:modified xsi:type="dcterms:W3CDTF">2026-05-30T15:54:10Z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