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ggiyojkkst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ggiyojkkst</w:t>
      </w:r>
    </w:p>
    <w:p>
      <w:pPr>
        <w:pStyle w:val="BodyText"/>
      </w:pPr>
      <w:r>
        <w:rPr>
          <w:bCs/>
          <w:b/>
        </w:rPr>
        <w:t xml:space="preserve">Company Name:</w:t>
      </w:r>
      <w:r>
        <w:t xml:space="preserve"> </w:t>
      </w:r>
      <w:r>
        <w:t xml:space="preserve">edgdixnyqr</w:t>
      </w:r>
    </w:p>
    <w:p>
      <w:pPr>
        <w:pStyle w:val="BodyText"/>
      </w:pPr>
      <w:r>
        <w:rPr>
          <w:bCs/>
          <w:b/>
        </w:rPr>
        <w:t xml:space="preserve">Senior Sustainability Consultant:</w:t>
      </w:r>
      <w:r>
        <w:t xml:space="preserve"> </w:t>
      </w:r>
      <w:r>
        <w:t xml:space="preserve">yzqrfhfqdn</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utilizing provided parameters and illustrative emission factors. Actual values may vary with primary data collection and specific operational details.</w:t>
      </w:r>
    </w:p>
    <w:bookmarkEnd w:id="20"/>
    <w:bookmarkStart w:id="21" w:name="X56dd3fbf9bba0844a1847eba47370993b9e039a"/>
    <w:p>
      <w:pPr>
        <w:pStyle w:val="Heading1"/>
      </w:pPr>
      <w:r>
        <w:t xml:space="preserve">Product Carbon Footprint Analysis Report: ggiyojkkst</w:t>
      </w:r>
    </w:p>
    <w:p>
      <w:pPr>
        <w:pStyle w:val="FirstParagraph"/>
      </w:pPr>
      <w:r>
        <w:t xml:space="preserve">Generated Date: May 22,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ggiyojkkst</w:t>
      </w:r>
      <w:r>
        <w:t xml:space="preserve">, manufactured by</w:t>
      </w:r>
      <w:r>
        <w:t xml:space="preserve"> </w:t>
      </w:r>
      <w:r>
        <w:rPr>
          <w:bCs/>
          <w:b/>
        </w:rPr>
        <w:t xml:space="preserve">edgdixnyqr</w:t>
      </w:r>
      <w:r>
        <w:t xml:space="preserve">. Conducted by</w:t>
      </w:r>
      <w:r>
        <w:t xml:space="preserve"> </w:t>
      </w:r>
      <w:r>
        <w:rPr>
          <w:bCs/>
          <w:b/>
        </w:rPr>
        <w:t xml:space="preserve">yzqrfhfqdn</w:t>
      </w:r>
      <w:r>
        <w:t xml:space="preserve">, Senior Sustainability Consultant, this analysis adheres to the Greenhouse Gas (GHG) Protocol, incorporating the latest 2026 updates, including the Land Sector and Removals (LSR) Standard and the 95% Scope 3 coverage requirement. The assessment covers the product\'s lifecycle from raw material acquisition to end-of-life, with a primary system boundary of \'factory_gate\' extended to include the use phase and end-of-life for a comprehensive Scope 3 evaluation. Our findings highlight key emission hotspots across the product\'s lifecycle, providing a foundation for targeted decarbonization strategies.</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growing imperative for corporate sustainability necessitates a clear understanding of environmental impacts across product lifecycles. This Product Carbon Footprint (PCF) report quantifies the greenhouse gas (GHG) emissions associated with</w:t>
      </w:r>
      <w:r>
        <w:t xml:space="preserve"> </w:t>
      </w:r>
      <w:r>
        <w:rPr>
          <w:bCs/>
          <w:b/>
        </w:rPr>
        <w:t xml:space="preserve">ggiyojkkst</w:t>
      </w:r>
      <w:r>
        <w:t xml:space="preserve">, a product from</w:t>
      </w:r>
      <w:r>
        <w:t xml:space="preserve"> </w:t>
      </w:r>
      <w:r>
        <w:rPr>
          <w:bCs/>
          <w:b/>
        </w:rPr>
        <w:t xml:space="preserve">edgdixnyqr</w:t>
      </w:r>
      <w:r>
        <w:t xml:space="preserve">. The analysis is performed by</w:t>
      </w:r>
      <w:r>
        <w:t xml:space="preserve"> </w:t>
      </w:r>
      <w:r>
        <w:rPr>
          <w:bCs/>
          <w:b/>
        </w:rPr>
        <w:t xml:space="preserve">yzqrfhfqdn</w:t>
      </w:r>
      <w:r>
        <w:t xml:space="preserve">, a Senior Sustainability Consultant specializing in GHG Protocol, to provide actionable insights into the product\'s environmental performance. This assessment is crucial for identifying emission reduction opportunities, informing sustainable design, and ensuring compliance with evolving reporting standards.</w:t>
      </w:r>
    </w:p>
    <w:p>
      <w:r>
        <w:pict>
          <v:rect style="width:0;height:1.5pt" o:hralign="center" o:hrstd="t" o:hr="t"/>
        </w:pict>
      </w:r>
    </w:p>
    <w:bookmarkEnd w:id="23"/>
    <w:bookmarkStart w:id="29" w:name="scope-definition"/>
    <w:p>
      <w:pPr>
        <w:pStyle w:val="Heading2"/>
      </w:pPr>
      <w:r>
        <w:t xml:space="preserve">2. Scope Definition</w:t>
      </w:r>
    </w:p>
    <w:p>
      <w:pPr>
        <w:pStyle w:val="FirstParagraph"/>
      </w:pPr>
      <w:r>
        <w:t xml:space="preserve">The foundational step of this PCF analysis is the precise definition of its scope, ensuring consistency and comparability of results.</w:t>
      </w:r>
    </w:p>
    <w:bookmarkStart w:id="24" w:name="functional-unit"/>
    <w:p>
      <w:pPr>
        <w:pStyle w:val="Heading3"/>
      </w:pPr>
      <w:r>
        <w:t xml:space="preserve">2.1. Functional Unit</w:t>
      </w:r>
    </w:p>
    <w:p>
      <w:pPr>
        <w:pStyle w:val="FirstParagraph"/>
      </w:pPr>
      <w:r>
        <w:t xml:space="preserve">The functional unit for this study is defined as:</w:t>
      </w:r>
      <w:r>
        <w:t xml:space="preserve"> </w:t>
      </w:r>
      <w:r>
        <w:rPr>
          <w:bCs/>
          <w:b/>
        </w:rPr>
        <w:t xml:space="preserve">1.0 unit of ggiyojkkst</w:t>
      </w:r>
      <w:r>
        <w:t xml:space="preserve">.</w:t>
      </w:r>
      <w:r>
        <w:t xml:space="preserve"> </w:t>
      </w:r>
      <w:r>
        <w:t xml:space="preserve">This unit serves as the reference basis to which all input and output data, and thus all environmental impacts, are normalized.</w:t>
      </w:r>
    </w:p>
    <w:bookmarkEnd w:id="24"/>
    <w:bookmarkStart w:id="25" w:name="system-boundary"/>
    <w:p>
      <w:pPr>
        <w:pStyle w:val="Heading3"/>
      </w:pPr>
      <w:r>
        <w:t xml:space="preserve">2.2. System Boundary</w:t>
      </w:r>
    </w:p>
    <w:p>
      <w:pPr>
        <w:pStyle w:val="FirstParagraph"/>
      </w:pPr>
      <w:r>
        <w:t xml:space="preserve">The primary system boundary for this analysis is defined as</w:t>
      </w:r>
      <w:r>
        <w:t xml:space="preserve"> </w:t>
      </w:r>
      <w:r>
        <w:rPr>
          <w:bCs/>
          <w:b/>
        </w:rPr>
        <w:t xml:space="preserve">"factory_gate"</w:t>
      </w:r>
      <w:r>
        <w:t xml:space="preserve">. This encompasses all processes from the extraction of raw materials (cradle) through their processing, manufacturing, and assembly into the final product, up to the point it leaves the factory gate.</w:t>
      </w:r>
    </w:p>
    <w:p>
      <w:pPr>
        <w:pStyle w:val="BodyText"/>
      </w:pPr>
      <w:r>
        <w:t xml:space="preserve">However, to comply with the comprehensive Scope 3 reporting requirements and the specific parameters provided, this report extends beyond a strict \'factory_gate\' boundary to include significant downstream emissions from the product\'s Use Phase and End-of-Life (EoL). This approach provides a holistic view of the product\'s lifecycle impact.</w:t>
      </w:r>
    </w:p>
    <w:p>
      <w:pPr>
        <w:pStyle w:val="BodyText"/>
      </w:pPr>
      <w:r>
        <w:t xml:space="preserve">Emissions are categorized according to the GHG Protocol:</w:t>
      </w:r>
    </w:p>
    <w:p>
      <w:pPr>
        <w:numPr>
          <w:ilvl w:val="0"/>
          <w:numId w:val="1001"/>
        </w:numPr>
        <w:pStyle w:val="Compact"/>
      </w:pPr>
      <w:r>
        <w:rPr>
          <w:bCs/>
          <w:b/>
        </w:rPr>
        <w:t xml:space="preserve">Scope 1:</w:t>
      </w:r>
      <w:r>
        <w:t xml:space="preserve"> </w:t>
      </w:r>
      <w:r>
        <w:t xml:space="preserve">Direct GHG emissions from sources owned or controlled by edgdixnyqr.</w:t>
      </w:r>
    </w:p>
    <w:p>
      <w:pPr>
        <w:numPr>
          <w:ilvl w:val="0"/>
          <w:numId w:val="1001"/>
        </w:numPr>
        <w:pStyle w:val="Compact"/>
      </w:pPr>
      <w:r>
        <w:rPr>
          <w:bCs/>
          <w:b/>
        </w:rPr>
        <w:t xml:space="preserve">Scope 2:</w:t>
      </w:r>
      <w:r>
        <w:t xml:space="preserve"> </w:t>
      </w:r>
      <w:r>
        <w:t xml:space="preserve">Indirect GHG emissions from the generation of purchased electricity, heat, or steam consumed by edgdixnyqr.</w:t>
      </w:r>
    </w:p>
    <w:p>
      <w:pPr>
        <w:numPr>
          <w:ilvl w:val="0"/>
          <w:numId w:val="1001"/>
        </w:numPr>
        <w:pStyle w:val="Compact"/>
      </w:pPr>
      <w:r>
        <w:rPr>
          <w:bCs/>
          <w:b/>
        </w:rPr>
        <w:t xml:space="preserve">Scope 3:</w:t>
      </w:r>
      <w:r>
        <w:t xml:space="preserve"> </w:t>
      </w:r>
      <w:r>
        <w:t xml:space="preserve">All other indirect GHG emissions that occur in the value chain of edgdixnyqr, both upstream and downstream.</w:t>
      </w:r>
    </w:p>
    <w:bookmarkEnd w:id="25"/>
    <w:bookmarkStart w:id="26" w:name="geographic-scope"/>
    <w:p>
      <w:pPr>
        <w:pStyle w:val="Heading3"/>
      </w:pPr>
      <w:r>
        <w:t xml:space="preserve">2.3. Geographic Scope</w:t>
      </w:r>
    </w:p>
    <w:p>
      <w:pPr>
        <w:pStyle w:val="FirstParagraph"/>
      </w:pPr>
      <w:r>
        <w:t xml:space="preserve">The geographic scope focuses 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pStyle w:val="FirstParagraph"/>
      </w:pPr>
      <w:r>
        <w:t xml:space="preserve">This means emission factors for electricity generation in China are primarily used for manufacturing, while upstream material sourcing and transport may reflect a European supply chain focus.</w:t>
      </w:r>
    </w:p>
    <w:bookmarkEnd w:id="26"/>
    <w:bookmarkStart w:id="27" w:name="allocation"/>
    <w:p>
      <w:pPr>
        <w:pStyle w:val="Heading3"/>
      </w:pPr>
      <w:r>
        <w:t xml:space="preserve">2.4. Allocation</w:t>
      </w:r>
    </w:p>
    <w:p>
      <w:pPr>
        <w:pStyle w:val="FirstParagraph"/>
      </w:pPr>
      <w:r>
        <w:t xml:space="preserve">Allocation rules are applied to partition the environmental burden of co-products or recycled materials. For this analysis, where secondary data is used, emission factors typically account for allocation based on mass or economic value as per the underlying database methodologies (e.g., Ecoinvent). Credits for recyclability at End-of-Life are calculated based on avoided primary production emissions.</w:t>
      </w:r>
    </w:p>
    <w:bookmarkEnd w:id="27"/>
    <w:bookmarkStart w:id="28" w:name="accounting-standard"/>
    <w:p>
      <w:pPr>
        <w:pStyle w:val="Heading3"/>
      </w:pPr>
      <w:r>
        <w:t xml:space="preserve">2.5. Accounting Standard</w:t>
      </w:r>
    </w:p>
    <w:p>
      <w:pPr>
        <w:pStyle w:val="FirstParagraph"/>
      </w:pPr>
      <w:r>
        <w:t xml:space="preserve">This analysis strictly adheres to the</w:t>
      </w:r>
      <w:r>
        <w:t xml:space="preserve"> </w:t>
      </w:r>
      <w:r>
        <w:rPr>
          <w:bCs/>
          <w:b/>
        </w:rPr>
        <w:t xml:space="preserve">GHG Protocol</w:t>
      </w:r>
      <w:r>
        <w:t xml:space="preserve"> </w:t>
      </w:r>
      <w:r>
        <w:t xml:space="preserve">standards for corporate value chain (Scope 3) accounting and reporting, ensuring a robust and verifiable methodology.</w:t>
      </w:r>
    </w:p>
    <w:p>
      <w:r>
        <w:pict>
          <v:rect style="width:0;height:1.5pt" o:hralign="center" o:hrstd="t" o:hr="t"/>
        </w:pict>
      </w:r>
    </w:p>
    <w:bookmarkEnd w:id="28"/>
    <w:bookmarkEnd w:id="29"/>
    <w:bookmarkStart w:id="30" w:name="lifecycle-mapping-lci-inventory-stages"/>
    <w:p>
      <w:pPr>
        <w:pStyle w:val="Heading2"/>
      </w:pPr>
      <w:r>
        <w:t xml:space="preserve">3. Lifecycle Mapping (LCI Inventory Stages)</w:t>
      </w:r>
    </w:p>
    <w:p>
      <w:pPr>
        <w:pStyle w:val="FirstParagraph"/>
      </w:pPr>
      <w:r>
        <w:t xml:space="preserve">The lifecycle of</w:t>
      </w:r>
      <w:r>
        <w:t xml:space="preserve"> </w:t>
      </w:r>
      <w:r>
        <w:rPr>
          <w:bCs/>
          <w:b/>
        </w:rPr>
        <w:t xml:space="preserve">ggiyojkkst</w:t>
      </w:r>
      <w:r>
        <w:t xml:space="preserve"> </w:t>
      </w:r>
      <w:r>
        <w:t xml:space="preserve">is mapped into the following stages, facilitating systematic data collection and emission calculation:</w:t>
      </w:r>
    </w:p>
    <w:p>
      <w:pPr>
        <w:numPr>
          <w:ilvl w:val="0"/>
          <w:numId w:val="1003"/>
        </w:numPr>
        <w:pStyle w:val="Compact"/>
      </w:pPr>
      <w:r>
        <w:rPr>
          <w:bCs/>
          <w:b/>
        </w:rPr>
        <w:t xml:space="preserve">Material Acquisition &amp; Pre-processing:</w:t>
      </w:r>
      <w:r>
        <w:t xml:space="preserve"> </w:t>
      </w:r>
      <w:r>
        <w:t xml:space="preserve">Extraction of raw materials and their transformation into intermediate products (e.g., metal sheets, plastic pellets, electronic components). This falls under Scope 3 Upstream (Category 1: Purchased Goods and Services).</w:t>
      </w:r>
    </w:p>
    <w:p>
      <w:pPr>
        <w:numPr>
          <w:ilvl w:val="0"/>
          <w:numId w:val="1003"/>
        </w:numPr>
        <w:pStyle w:val="Compact"/>
      </w:pPr>
      <w:r>
        <w:rPr>
          <w:bCs/>
          <w:b/>
        </w:rPr>
        <w:t xml:space="preserve">Manufacturing:</w:t>
      </w:r>
      <w:r>
        <w:t xml:space="preserve"> </w:t>
      </w:r>
      <w:r>
        <w:t xml:space="preserve">All production processes at the factory, including energy consumption, direct process emissions, and waste generation. This covers Scope 1 (Direct Emissions) and Scope 2 (Purchased Energy).</w:t>
      </w:r>
    </w:p>
    <w:p>
      <w:pPr>
        <w:numPr>
          <w:ilvl w:val="0"/>
          <w:numId w:val="1003"/>
        </w:numPr>
        <w:pStyle w:val="Compact"/>
      </w:pPr>
      <w:r>
        <w:rPr>
          <w:bCs/>
          <w:b/>
        </w:rPr>
        <w:t xml:space="preserve">Transportation:</w:t>
      </w:r>
    </w:p>
    <w:p>
      <w:pPr>
        <w:numPr>
          <w:ilvl w:val="1"/>
          <w:numId w:val="1004"/>
        </w:numPr>
        <w:pStyle w:val="Compact"/>
      </w:pPr>
      <w:r>
        <w:rPr>
          <w:bCs/>
          <w:b/>
        </w:rPr>
        <w:t xml:space="preserve">Upstream Logistics:</w:t>
      </w:r>
      <w:r>
        <w:t xml:space="preserve"> </w:t>
      </w:r>
      <w:r>
        <w:t xml:space="preserve">Transport of raw materials and components to the manufacturing facility. (Scope 3 Upstream - Category 4: Upstream Transportation and Distribution).</w:t>
      </w:r>
    </w:p>
    <w:p>
      <w:pPr>
        <w:numPr>
          <w:ilvl w:val="1"/>
          <w:numId w:val="1004"/>
        </w:numPr>
        <w:pStyle w:val="Compact"/>
      </w:pPr>
      <w:r>
        <w:rPr>
          <w:bCs/>
          <w:b/>
        </w:rPr>
        <w:t xml:space="preserve">Downstream Logistics:</w:t>
      </w:r>
      <w:r>
        <w:t xml:space="preserve"> </w:t>
      </w:r>
      <w:r>
        <w:t xml:space="preserve">Transport of the finished product from the factory to the end-consumer. (Scope 3 Downstream - Category 9: Downstream Transportation and Distribution).</w:t>
      </w:r>
    </w:p>
    <w:p>
      <w:pPr>
        <w:numPr>
          <w:ilvl w:val="0"/>
          <w:numId w:val="1003"/>
        </w:numPr>
        <w:pStyle w:val="Compact"/>
      </w:pPr>
      <w:r>
        <w:rPr>
          <w:bCs/>
          <w:b/>
        </w:rPr>
        <w:t xml:space="preserve">Use Phase:</w:t>
      </w:r>
      <w:r>
        <w:t xml:space="preserve"> </w:t>
      </w:r>
      <w:r>
        <w:t xml:space="preserve">Energy consumption and any other emissions associated with the product\'s operation and maintenance during its lifespan by the end-user. (Scope 3 Downstream - Category 11: Use of Sold Products).</w:t>
      </w:r>
    </w:p>
    <w:p>
      <w:pPr>
        <w:numPr>
          <w:ilvl w:val="0"/>
          <w:numId w:val="1003"/>
        </w:numPr>
        <w:pStyle w:val="Compact"/>
      </w:pPr>
      <w:r>
        <w:rPr>
          <w:bCs/>
          <w:b/>
        </w:rPr>
        <w:t xml:space="preserve">End-of-Life (EoL) Treatment:</w:t>
      </w:r>
      <w:r>
        <w:t xml:space="preserve"> </w:t>
      </w:r>
      <w:r>
        <w:t xml:space="preserve">Disposal or recycling processes for the product at the end of its functional life. (Scope 3 Downstream - Category 12: End-of-Life Treatment of Sold Products).</w:t>
      </w:r>
    </w:p>
    <w:p>
      <w:r>
        <w:pict>
          <v:rect style="width:0;height:1.5pt" o:hralign="center" o:hrstd="t" o:hr="t"/>
        </w:pict>
      </w:r>
    </w:p>
    <w:bookmarkEnd w:id="30"/>
    <w:bookmarkStart w:id="36" w:name="data-collection"/>
    <w:p>
      <w:pPr>
        <w:pStyle w:val="Heading2"/>
      </w:pPr>
      <w:r>
        <w:t xml:space="preserve">4. Data Collection</w:t>
      </w:r>
    </w:p>
    <w:p>
      <w:pPr>
        <w:pStyle w:val="FirstParagraph"/>
      </w:pPr>
      <w:r>
        <w:t xml:space="preserve">Data for this PCF analysis is gathered from various sources, prioritizing primary data where available and using high-quality secondary data (industry averages, databases) for other inputs.</w:t>
      </w:r>
      <w:r>
        <w:t xml:space="preserve"> </w:t>
      </w:r>
      <w:r>
        <w:t xml:space="preserve">For the purpose of this report, where specific values were provided as placeholders (e.g., `ovhumzhf`), illustrative data following the specified format has been generated to demonstrate the calculation methodology.</w:t>
      </w:r>
    </w:p>
    <w:bookmarkStart w:id="31" w:name="detailed-bill-of-materials-bom"/>
    <w:p>
      <w:pPr>
        <w:pStyle w:val="Heading3"/>
      </w:pPr>
      <w:r>
        <w:t xml:space="preserve">4.1. Detailed Bill of Materials (BOM)</w:t>
      </w:r>
    </w:p>
    <w:p>
      <w:pPr>
        <w:pStyle w:val="FirstParagraph"/>
      </w:pPr>
      <w:r>
        <w:t xml:space="preserve">The following Bill of Materials (BOM) for</w:t>
      </w:r>
      <w:r>
        <w:t xml:space="preserve"> </w:t>
      </w:r>
      <w:r>
        <w:rPr>
          <w:bCs/>
          <w:b/>
        </w:rPr>
        <w:t xml:space="preserve">ggiyojkkst</w:t>
      </w:r>
      <w:r>
        <w:t xml:space="preserve"> </w:t>
      </w:r>
      <w:r>
        <w:t xml:space="preserve">is used to calculate the material-related emissions. The "Emission Factor" represents the cradle-to-gate impact of producing 1 unit (kg or unit) of the material/component.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w:t>
            </w:r>
            <w:r>
              <w:rPr>
                <w:vertAlign w:val="subscript"/>
              </w:rPr>
              <w:t xml:space="preserve">2</w:t>
            </w:r>
            <w:r>
              <w:t xml:space="preserve">e/unit)</w:t>
            </w:r>
          </w:p>
        </w:tc>
        <w:tc>
          <w:tcPr/>
          <w:p>
            <w:pPr>
              <w:pStyle w:val="Compact"/>
              <w:jc w:val="left"/>
            </w:pPr>
            <w:r>
              <w:t xml:space="preserve">Total Carbon (kgCO</w:t>
            </w:r>
            <w:r>
              <w:rPr>
                <w:vertAlign w:val="subscript"/>
              </w:rPr>
              <w:t xml:space="preserve">2</w:t>
            </w:r>
            <w:r>
              <w:t xml:space="preserve">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5</w:t>
            </w:r>
          </w:p>
        </w:tc>
        <w:tc>
          <w:tcPr/>
          <w:p>
            <w:pPr>
              <w:pStyle w:val="Compact"/>
              <w:jc w:val="left"/>
            </w:pPr>
            <w:r>
              <w:t xml:space="preserve">Electronic Components (Assorted)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p>
            <w:pPr>
              <w:pStyle w:val="Compact"/>
              <w:jc w:val="left"/>
            </w:pPr>
            <w:r>
              <w:t xml:space="preserve">7</w:t>
            </w:r>
          </w:p>
        </w:tc>
        <w:tc>
          <w:tcPr/>
          <w:p>
            <w:pPr>
              <w:pStyle w:val="Compact"/>
              <w:jc w:val="left"/>
            </w:pPr>
            <w:r>
              <w:t xml:space="preserve">Packaging Plastic Film</w:t>
            </w:r>
          </w:p>
        </w:tc>
        <w:tc>
          <w:tcPr/>
          <w:p>
            <w:pPr>
              <w:pStyle w:val="Compact"/>
              <w:jc w:val="left"/>
            </w:pPr>
            <w:r>
              <w:t xml:space="preserve">Plastic</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0.025</w:t>
            </w:r>
          </w:p>
        </w:tc>
      </w:tr>
      <w:tr>
        <w:tc>
          <w:tcPr>
            <w:gridSpan w:val="7"/>
          </w:tcPr>
          <w:p>
            <w:pPr>
              <w:pStyle w:val="Compact"/>
              <w:jc w:val="right"/>
            </w:pPr>
            <w:r>
              <w:rPr>
                <w:bCs/>
                <w:b/>
              </w:rPr>
              <w:t xml:space="preserve">Total Material Carbon:</w:t>
            </w:r>
          </w:p>
        </w:tc>
        <w:tc>
          <w:tcPr/>
          <w:p>
            <w:pPr>
              <w:pStyle w:val="Compact"/>
              <w:jc w:val="left"/>
            </w:pPr>
            <w:r>
              <w:rPr>
                <w:bCs/>
                <w:b/>
              </w:rPr>
              <w:t xml:space="preserve">10.025</w:t>
            </w:r>
          </w:p>
        </w:tc>
      </w:tr>
    </w:tbl>
    <w:p>
      <w:pPr>
        <w:pStyle w:val="BodyText"/>
      </w:pPr>
      <w:r>
        <w:rPr>
          <w:iCs/>
          <w:i/>
        </w:rPr>
        <w:t xml:space="preserve">Note: The BOM data above is illustrative, generated based on the format provided as `ovhumzhf`. For a real report, these values would be derived from supplier-specific data or robust lifecycle inventory databases (e.g., Ecoinvent).</w:t>
      </w:r>
    </w:p>
    <w:bookmarkEnd w:id="31"/>
    <w:bookmarkStart w:id="32" w:name="production-energy-data"/>
    <w:p>
      <w:pPr>
        <w:pStyle w:val="Heading3"/>
      </w:pPr>
      <w:r>
        <w:t xml:space="preserve">4.2. Production Energy Data</w:t>
      </w:r>
    </w:p>
    <w:p>
      <w:pPr>
        <w:numPr>
          <w:ilvl w:val="0"/>
          <w:numId w:val="1005"/>
        </w:numPr>
        <w:pStyle w:val="Compact"/>
      </w:pPr>
      <w:r>
        <w:rPr>
          <w:bCs/>
          <w:b/>
        </w:rPr>
        <w:t xml:space="preserve">Renewable Energy Usage:</w:t>
      </w:r>
      <w:r>
        <w:t xml:space="preserve"> </w:t>
      </w:r>
      <w:r>
        <w:t xml:space="preserve">70% (lmwiynloli) of electricity consumed at the manufacturing facility.</w:t>
      </w:r>
    </w:p>
    <w:p>
      <w:pPr>
        <w:numPr>
          <w:ilvl w:val="0"/>
          <w:numId w:val="1005"/>
        </w:numPr>
        <w:pStyle w:val="Compact"/>
      </w:pPr>
      <w:r>
        <w:rPr>
          <w:bCs/>
          <w:b/>
        </w:rPr>
        <w:t xml:space="preserve">Energy Intensity (kWh/unit):</w:t>
      </w:r>
      <w:r>
        <w:t xml:space="preserve"> </w:t>
      </w:r>
      <w:r>
        <w:t xml:space="preserve">0.8 kWh/unit (hhyrsjfgoy) of electricity consumed for manufacturing one unit of ggiyojkkst.</w:t>
      </w:r>
    </w:p>
    <w:bookmarkEnd w:id="32"/>
    <w:bookmarkStart w:id="33" w:name="transport-logistics-data"/>
    <w:p>
      <w:pPr>
        <w:pStyle w:val="Heading3"/>
      </w:pPr>
      <w:r>
        <w:t xml:space="preserve">4.3. Transport Logistics Data</w:t>
      </w:r>
    </w:p>
    <w:p>
      <w:pPr>
        <w:numPr>
          <w:ilvl w:val="0"/>
          <w:numId w:val="1006"/>
        </w:numPr>
        <w:pStyle w:val="Compact"/>
      </w:pPr>
      <w:r>
        <w:rPr>
          <w:bCs/>
          <w:b/>
        </w:rPr>
        <w:t xml:space="preserve">Upstream Transport:</w:t>
      </w:r>
      <w:r>
        <w:t xml:space="preserve"> </w:t>
      </w:r>
      <w:r>
        <w:t xml:space="preserve">Assumed average 500 km by Road Freight (HGV) for raw materials to factory.</w:t>
      </w:r>
    </w:p>
    <w:p>
      <w:pPr>
        <w:numPr>
          <w:ilvl w:val="0"/>
          <w:numId w:val="1006"/>
        </w:numPr>
        <w:pStyle w:val="Compact"/>
      </w:pPr>
      <w:r>
        <w:rPr>
          <w:bCs/>
          <w:b/>
        </w:rPr>
        <w:t xml:space="preserve">Downstream Transport Mode:</w:t>
      </w:r>
      <w:r>
        <w:t xml:space="preserve"> </w:t>
      </w:r>
      <w:r>
        <w:t xml:space="preserve">Road Freight (HGV) (Select Mode)</w:t>
      </w:r>
    </w:p>
    <w:p>
      <w:pPr>
        <w:numPr>
          <w:ilvl w:val="0"/>
          <w:numId w:val="1006"/>
        </w:numPr>
        <w:pStyle w:val="Compact"/>
      </w:pPr>
      <w:r>
        <w:rPr>
          <w:bCs/>
          <w:b/>
        </w:rPr>
        <w:t xml:space="preserve">Transport Distance:</w:t>
      </w:r>
      <w:r>
        <w:t xml:space="preserve"> </w:t>
      </w:r>
      <w:r>
        <w:t xml:space="preserve">1,500 km (ixrrlyfntd) from factory to distribution hub/customer.</w:t>
      </w:r>
    </w:p>
    <w:p>
      <w:pPr>
        <w:numPr>
          <w:ilvl w:val="0"/>
          <w:numId w:val="1006"/>
        </w:numPr>
        <w:pStyle w:val="Compact"/>
      </w:pPr>
      <w:r>
        <w:rPr>
          <w:bCs/>
          <w:b/>
        </w:rPr>
        <w:t xml:space="preserve">Last-Mile Delivery Channel:</w:t>
      </w:r>
      <w:r>
        <w:t xml:space="preserve"> </w:t>
      </w:r>
      <w:r>
        <w:t xml:space="preserve">Parcel Post (Delivery Type)</w:t>
      </w:r>
    </w:p>
    <w:bookmarkEnd w:id="33"/>
    <w:bookmarkStart w:id="34" w:name="use-phase-data"/>
    <w:p>
      <w:pPr>
        <w:pStyle w:val="Heading3"/>
      </w:pPr>
      <w:r>
        <w:t xml:space="preserve">4.4. Use Phase Data</w:t>
      </w:r>
    </w:p>
    <w:p>
      <w:pPr>
        <w:numPr>
          <w:ilvl w:val="0"/>
          <w:numId w:val="1007"/>
        </w:numPr>
        <w:pStyle w:val="Compact"/>
      </w:pPr>
      <w:r>
        <w:rPr>
          <w:bCs/>
          <w:b/>
        </w:rPr>
        <w:t xml:space="preserve">Product Lifespan:</w:t>
      </w:r>
      <w:r>
        <w:t xml:space="preserve"> </w:t>
      </w:r>
      <w:r>
        <w:t xml:space="preserve">5 years (kozlxzkpsp)</w:t>
      </w:r>
    </w:p>
    <w:p>
      <w:pPr>
        <w:numPr>
          <w:ilvl w:val="0"/>
          <w:numId w:val="1007"/>
        </w:numPr>
        <w:pStyle w:val="Compact"/>
      </w:pPr>
      <w:r>
        <w:rPr>
          <w:bCs/>
          <w:b/>
        </w:rPr>
        <w:t xml:space="preserve">Energy Consumption in Use:</w:t>
      </w:r>
      <w:r>
        <w:t xml:space="preserve"> </w:t>
      </w:r>
      <w:r>
        <w:t xml:space="preserve">10 kWh/year (djvzyogffl)</w:t>
      </w:r>
    </w:p>
    <w:bookmarkEnd w:id="34"/>
    <w:bookmarkStart w:id="35" w:name="end-of-life-eol-data"/>
    <w:p>
      <w:pPr>
        <w:pStyle w:val="Heading3"/>
      </w:pPr>
      <w:r>
        <w:t xml:space="preserve">4.5. End-of-Life (EoL) Data</w:t>
      </w:r>
    </w:p>
    <w:p>
      <w:pPr>
        <w:numPr>
          <w:ilvl w:val="0"/>
          <w:numId w:val="1008"/>
        </w:numPr>
        <w:pStyle w:val="Compact"/>
      </w:pPr>
      <w:r>
        <w:rPr>
          <w:bCs/>
          <w:b/>
        </w:rPr>
        <w:t xml:space="preserve">Recyclability Percentage:</w:t>
      </w:r>
      <w:r>
        <w:t xml:space="preserve"> </w:t>
      </w:r>
      <w:r>
        <w:t xml:space="preserve">85% (uptslwezdp)</w:t>
      </w:r>
    </w:p>
    <w:p>
      <w:pPr>
        <w:numPr>
          <w:ilvl w:val="0"/>
          <w:numId w:val="1008"/>
        </w:numPr>
        <w:pStyle w:val="Compact"/>
      </w:pPr>
      <w:r>
        <w:rPr>
          <w:bCs/>
          <w:b/>
        </w:rPr>
        <w:t xml:space="preserve">Circular/Take-back Programs:</w:t>
      </w:r>
      <w:r>
        <w:t xml:space="preserve"> </w:t>
      </w:r>
      <w:r>
        <w:t xml:space="preserve">Yes, with partner network (sygkvspqpn)</w:t>
      </w:r>
    </w:p>
    <w:p>
      <w:r>
        <w:pict>
          <v:rect style="width:0;height:1.5pt" o:hralign="center" o:hrstd="t" o:hr="t"/>
        </w:pict>
      </w:r>
    </w:p>
    <w:bookmarkEnd w:id="35"/>
    <w:bookmarkEnd w:id="36"/>
    <w:bookmarkStart w:id="48" w:name="emission-calculation"/>
    <w:p>
      <w:pPr>
        <w:pStyle w:val="Heading2"/>
      </w:pPr>
      <w:r>
        <w:t xml:space="preserve">5. Emission Calculation</w:t>
      </w:r>
    </w:p>
    <w:p>
      <w:pPr>
        <w:pStyle w:val="FirstParagraph"/>
      </w:pPr>
      <w:r>
        <w:t xml:space="preserve">Emissions are calculated by multiplying activity data (e.g., quantity of material, distance traveled, energy consumed) by relevant emission factors (EFs). EFs are sourced from industry-standard databases like Ecoinvent and DEFRA/DESNZ where possible, with representative placeholder values used here to demonstrate the methodology.</w:t>
      </w:r>
    </w:p>
    <w:p>
      <w:pPr>
        <w:pStyle w:val="BodyText"/>
      </w:pPr>
      <w:r>
        <w:t xml:space="preserve">All calculations are presented per functional unit (1.0 unit of ggiyojkkst).</w:t>
      </w:r>
    </w:p>
    <w:bookmarkStart w:id="39" w:name="scope-3-upstream-emissions"/>
    <w:p>
      <w:pPr>
        <w:pStyle w:val="Heading3"/>
      </w:pPr>
      <w:r>
        <w:t xml:space="preserve">5.1. Scope 3 Upstream Emissions</w:t>
      </w:r>
    </w:p>
    <w:bookmarkStart w:id="37" w:name="Xab9729a0caae076ca89f2f71668734f92723cf2"/>
    <w:p>
      <w:pPr>
        <w:pStyle w:val="Heading4"/>
      </w:pPr>
      <w:r>
        <w:t xml:space="preserve">5.1.1. Category 1: Purchased Goods and Services (Materials)</w:t>
      </w:r>
    </w:p>
    <w:p>
      <w:pPr>
        <w:pStyle w:val="FirstParagraph"/>
      </w:pPr>
      <w:r>
        <w:t xml:space="preserve">Based on the Detailed Bill of Materials (Section 4.1), the total carbon emissions from material acquisition and pre-processing are:</w:t>
      </w:r>
      <w:r>
        <w:br/>
      </w:r>
      <w:r>
        <w:rPr>
          <w:bCs/>
          <w:b/>
        </w:rPr>
        <w:t xml:space="preserve">Total Material Carbon: 10.025 kgCO</w:t>
      </w:r>
      <w:r>
        <w:rPr>
          <w:vertAlign w:val="subscript"/>
          <w:bCs/>
          <w:b/>
        </w:rPr>
        <w:t xml:space="preserve">2</w:t>
      </w:r>
      <w:r>
        <w:rPr>
          <w:bCs/>
          <w:b/>
        </w:rPr>
        <w:t xml:space="preserve">e</w:t>
      </w:r>
    </w:p>
    <w:bookmarkEnd w:id="37"/>
    <w:bookmarkStart w:id="38" w:name="X6669a43143349c25ec93e775eebde43de53a73c"/>
    <w:p>
      <w:pPr>
        <w:pStyle w:val="Heading4"/>
      </w:pPr>
      <w:r>
        <w:t xml:space="preserve">5.1.2. Category 4: Upstream Transportation and Distribution</w:t>
      </w:r>
    </w:p>
    <w:p>
      <w:pPr>
        <w:pStyle w:val="FirstParagraph"/>
      </w:pPr>
      <w:r>
        <w:t xml:space="preserve">This accounts for the transportation of raw materials and components to the factory.</w:t>
      </w:r>
      <w:r>
        <w:br/>
      </w:r>
      <w:r>
        <w:t xml:space="preserve">Assumed product weight for upstream transport: 1.2 kg (sum of BOM material quantities).</w:t>
      </w:r>
      <w:r>
        <w:br/>
      </w:r>
      <w:r>
        <w:t xml:space="preserve">Assumed average upstream transport distance: 500 km by Road Freight (HGV).</w:t>
      </w:r>
      <w:r>
        <w:br/>
      </w:r>
      <w:r>
        <w:t xml:space="preserve">Illustrative Emission Factor for Road Freight (HGV): 0.1 kgCO</w:t>
      </w:r>
      <w:r>
        <w:rPr>
          <w:vertAlign w:val="subscript"/>
        </w:rPr>
        <w:t xml:space="preserve">2</w:t>
      </w:r>
      <w:r>
        <w:t xml:space="preserve">e/tkm.</w:t>
      </w:r>
      <w:r>
        <w:br/>
      </w:r>
      <w:r>
        <w:t xml:space="preserve">Calculation: (1.2 kg / 1000 kg/t) * 500 km * 0.1 kgCO</w:t>
      </w:r>
      <w:r>
        <w:rPr>
          <w:vertAlign w:val="subscript"/>
        </w:rPr>
        <w:t xml:space="preserve">2</w:t>
      </w:r>
      <w:r>
        <w:t xml:space="preserve">e/tkm =</w:t>
      </w:r>
      <w:r>
        <w:t xml:space="preserve"> </w:t>
      </w:r>
      <w:r>
        <w:rPr>
          <w:bCs/>
          <w:b/>
        </w:rPr>
        <w:t xml:space="preserve">0.06 kgCO</w:t>
      </w:r>
      <w:r>
        <w:rPr>
          <w:vertAlign w:val="subscript"/>
          <w:bCs/>
          <w:b/>
        </w:rPr>
        <w:t xml:space="preserve">2</w:t>
      </w:r>
      <w:r>
        <w:rPr>
          <w:bCs/>
          <w:b/>
        </w:rPr>
        <w:t xml:space="preserve">e</w:t>
      </w:r>
    </w:p>
    <w:bookmarkEnd w:id="38"/>
    <w:bookmarkEnd w:id="39"/>
    <w:bookmarkStart w:id="42" w:name="scope-1-scope-2-emissions-manufacturing"/>
    <w:p>
      <w:pPr>
        <w:pStyle w:val="Heading3"/>
      </w:pPr>
      <w:r>
        <w:t xml:space="preserve">5.2. Scope 1 &amp; Scope 2 Emissions (Manufacturing)</w:t>
      </w:r>
    </w:p>
    <w:bookmarkStart w:id="40" w:name="Xc5bec97b05b0fb3103fd69f6f7f891aea006bfc"/>
    <w:p>
      <w:pPr>
        <w:pStyle w:val="Heading4"/>
      </w:pPr>
      <w:r>
        <w:t xml:space="preserve">5.2.1. Scope 1: Direct Emissions from Manufacturing</w:t>
      </w:r>
    </w:p>
    <w:p>
      <w:pPr>
        <w:pStyle w:val="FirstParagraph"/>
      </w:pPr>
      <w:r>
        <w:t xml:space="preserve">These are direct GHG emissions from sources owned or controlled by edgdixnyqr at the manufacturing facility. For this analysis, a small illustrative value is assigned, assuming minimal direct fuel combustion or process emissions.</w:t>
      </w:r>
      <w:r>
        <w:br/>
      </w:r>
      <w:r>
        <w:rPr>
          <w:bCs/>
          <w:b/>
        </w:rPr>
        <w:t xml:space="preserve">Assumed Direct Manufacturing Emissions: 0.01 kgCO</w:t>
      </w:r>
      <w:r>
        <w:rPr>
          <w:vertAlign w:val="subscript"/>
          <w:bCs/>
          <w:b/>
        </w:rPr>
        <w:t xml:space="preserve">2</w:t>
      </w:r>
      <w:r>
        <w:rPr>
          <w:bCs/>
          <w:b/>
        </w:rPr>
        <w:t xml:space="preserve">e</w:t>
      </w:r>
    </w:p>
    <w:bookmarkEnd w:id="40"/>
    <w:bookmarkStart w:id="41" w:name="Xb67c4d71a1600bd9431aaa4423262512257fb8a"/>
    <w:p>
      <w:pPr>
        <w:pStyle w:val="Heading4"/>
      </w:pPr>
      <w:r>
        <w:t xml:space="preserve">5.2.2. Scope 2: Energy Indirect Emissions from Purchased Electricity</w:t>
      </w:r>
    </w:p>
    <w:p>
      <w:pPr>
        <w:pStyle w:val="FirstParagraph"/>
      </w:pPr>
      <w:r>
        <w:t xml:space="preserve">Energy Intensity: 0.8 kWh/unit [cite: hhyrsjfgoy]</w:t>
      </w:r>
      <w:r>
        <w:br/>
      </w:r>
      <w:r>
        <w:t xml:space="preserve">Renewable Energy Usage: 70% [cite: lmwiynloli]</w:t>
      </w:r>
      <w:r>
        <w:br/>
      </w:r>
      <w:r>
        <w:t xml:space="preserve">Non-renewable electricity consumption: 0.8 kWh/unit * (1 - 0.70) = 0.24 kWh/unit</w:t>
      </w:r>
      <w:r>
        <w:br/>
      </w:r>
      <w:r>
        <w:t xml:space="preserve">China\'s National Average Electricity Carbon Footprint Factor (2023): 0.6205 kgCO</w:t>
      </w:r>
      <w:r>
        <w:rPr>
          <w:vertAlign w:val="subscript"/>
        </w:rPr>
        <w:t xml:space="preserve">2</w:t>
      </w:r>
      <w:r>
        <w:t xml:space="preserve">e/kWh.</w:t>
      </w:r>
      <w:r>
        <w:br/>
      </w:r>
      <w:r>
        <w:t xml:space="preserve">Calculation: 0.24 kWh/unit * 0.6205 kgCO</w:t>
      </w:r>
      <w:r>
        <w:rPr>
          <w:vertAlign w:val="subscript"/>
        </w:rPr>
        <w:t xml:space="preserve">2</w:t>
      </w:r>
      <w:r>
        <w:t xml:space="preserve">e/kWh =</w:t>
      </w:r>
      <w:r>
        <w:t xml:space="preserve"> </w:t>
      </w:r>
      <w:r>
        <w:rPr>
          <w:bCs/>
          <w:b/>
        </w:rPr>
        <w:t xml:space="preserve">0.14892 kgCO</w:t>
      </w:r>
      <w:r>
        <w:rPr>
          <w:vertAlign w:val="subscript"/>
          <w:bCs/>
          <w:b/>
        </w:rPr>
        <w:t xml:space="preserve">2</w:t>
      </w:r>
      <w:r>
        <w:rPr>
          <w:bCs/>
          <w:b/>
        </w:rPr>
        <w:t xml:space="preserve">e</w:t>
      </w:r>
    </w:p>
    <w:bookmarkEnd w:id="41"/>
    <w:bookmarkEnd w:id="42"/>
    <w:bookmarkStart w:id="46" w:name="scope-3-downstream-emissions"/>
    <w:p>
      <w:pPr>
        <w:pStyle w:val="Heading3"/>
      </w:pPr>
      <w:r>
        <w:t xml:space="preserve">5.3. Scope 3 Downstream Emissions</w:t>
      </w:r>
    </w:p>
    <w:bookmarkStart w:id="43" w:name="X25a0837e2ca53a982bfb6f58a50970139f4f25f"/>
    <w:p>
      <w:pPr>
        <w:pStyle w:val="Heading4"/>
      </w:pPr>
      <w:r>
        <w:t xml:space="preserve">5.3.1. Category 9: Downstream Transportation and Distribution</w:t>
      </w:r>
    </w:p>
    <w:p>
      <w:pPr>
        <w:pStyle w:val="FirstParagraph"/>
      </w:pPr>
      <w:r>
        <w:t xml:space="preserve">This covers the transport of the finished product from the factory to the customer.</w:t>
      </w:r>
      <w:r>
        <w:br/>
      </w:r>
      <w:r>
        <w:t xml:space="preserve">Product weight (including packaging, from BOM): 1.2 kg (estimated).</w:t>
      </w:r>
      <w:r>
        <w:br/>
      </w:r>
      <w:r>
        <w:t xml:space="preserve">Transport Mode: Road Freight (HGV) for 1,500 km [cite: ixrrlyfntd]</w:t>
      </w:r>
      <w:r>
        <w:br/>
      </w:r>
      <w:r>
        <w:t xml:space="preserve">Illustrative Emission Factor for Road Freight (HGV): 0.1 kgCO</w:t>
      </w:r>
      <w:r>
        <w:rPr>
          <w:vertAlign w:val="subscript"/>
        </w:rPr>
        <w:t xml:space="preserve">2</w:t>
      </w:r>
      <w:r>
        <w:t xml:space="preserve">e/tkm.</w:t>
      </w:r>
      <w:r>
        <w:br/>
      </w:r>
      <w:r>
        <w:t xml:space="preserve">Calculation (Road Freight): (1.2 kg / 1000 kg/t) * 1,500 km * 0.1 kgCO</w:t>
      </w:r>
      <w:r>
        <w:rPr>
          <w:vertAlign w:val="subscript"/>
        </w:rPr>
        <w:t xml:space="preserve">2</w:t>
      </w:r>
      <w:r>
        <w:t xml:space="preserve">e/tkm = 0.18 kgCO</w:t>
      </w:r>
      <w:r>
        <w:rPr>
          <w:vertAlign w:val="subscript"/>
        </w:rPr>
        <w:t xml:space="preserve">2</w:t>
      </w:r>
      <w:r>
        <w:t xml:space="preserve">e</w:t>
      </w:r>
      <w:r>
        <w:br/>
      </w:r>
      <w:r>
        <w:t xml:space="preserve">Last-Mile Delivery Channel: Parcel Post (Delivery Type)</w:t>
      </w:r>
      <w:r>
        <w:br/>
      </w:r>
      <w:r>
        <w:t xml:space="preserve">Illustrative Emission Factor for Parcel Post (simplified per package): 0.5 kgCO</w:t>
      </w:r>
      <w:r>
        <w:rPr>
          <w:vertAlign w:val="subscript"/>
        </w:rPr>
        <w:t xml:space="preserve">2</w:t>
      </w:r>
      <w:r>
        <w:t xml:space="preserve">e/package.</w:t>
      </w:r>
      <w:r>
        <w:br/>
      </w:r>
      <w:r>
        <w:t xml:space="preserve">Calculation (Parcel Post): 1 package * 0.5 kgCO</w:t>
      </w:r>
      <w:r>
        <w:rPr>
          <w:vertAlign w:val="subscript"/>
        </w:rPr>
        <w:t xml:space="preserve">2</w:t>
      </w:r>
      <w:r>
        <w:t xml:space="preserve">e/package = 0.5 kgCO</w:t>
      </w:r>
      <w:r>
        <w:rPr>
          <w:vertAlign w:val="subscript"/>
        </w:rPr>
        <w:t xml:space="preserve">2</w:t>
      </w:r>
      <w:r>
        <w:t xml:space="preserve">e</w:t>
      </w:r>
      <w:r>
        <w:br/>
      </w:r>
      <w:r>
        <w:rPr>
          <w:bCs/>
          <w:b/>
        </w:rPr>
        <w:t xml:space="preserve">Total Downstream Transport Emissions: 0.18 + 0.5 = 0.68 kgCO</w:t>
      </w:r>
      <w:r>
        <w:rPr>
          <w:vertAlign w:val="subscript"/>
          <w:bCs/>
          <w:b/>
        </w:rPr>
        <w:t xml:space="preserve">2</w:t>
      </w:r>
      <w:r>
        <w:rPr>
          <w:bCs/>
          <w:b/>
        </w:rPr>
        <w:t xml:space="preserve">e</w:t>
      </w:r>
    </w:p>
    <w:bookmarkEnd w:id="43"/>
    <w:bookmarkStart w:id="44" w:name="category-11-use-of-sold-products"/>
    <w:p>
      <w:pPr>
        <w:pStyle w:val="Heading4"/>
      </w:pPr>
      <w:r>
        <w:t xml:space="preserve">5.3.2. Category 11: Use of Sold Products</w:t>
      </w:r>
    </w:p>
    <w:p>
      <w:pPr>
        <w:pStyle w:val="FirstParagraph"/>
      </w:pPr>
      <w:r>
        <w:t xml:space="preserve">Product Lifespan: 5 years [cite: kozlxzkpsp]</w:t>
      </w:r>
      <w:r>
        <w:br/>
      </w:r>
      <w:r>
        <w:t xml:space="preserve">Energy Consumption in Use: 10 kWh/year [cite: djvzyogffl]</w:t>
      </w:r>
      <w:r>
        <w:br/>
      </w:r>
      <w:r>
        <w:t xml:space="preserve">Total Energy Consumption over lifespan: 10 kWh/year * 5 years = 50 kWh</w:t>
      </w:r>
      <w:r>
        <w:br/>
      </w:r>
      <w:r>
        <w:t xml:space="preserve">Assumed electricity emission factor for use phase (generic grid mix, illustrative): 0.4 kgCO</w:t>
      </w:r>
      <w:r>
        <w:rPr>
          <w:vertAlign w:val="subscript"/>
        </w:rPr>
        <w:t xml:space="preserve">2</w:t>
      </w:r>
      <w:r>
        <w:t xml:space="preserve">e/kWh.</w:t>
      </w:r>
      <w:r>
        <w:br/>
      </w:r>
      <w:r>
        <w:t xml:space="preserve">Calculation: 50 kWh * 0.4 kgCO</w:t>
      </w:r>
      <w:r>
        <w:rPr>
          <w:vertAlign w:val="subscript"/>
        </w:rPr>
        <w:t xml:space="preserve">2</w:t>
      </w:r>
      <w:r>
        <w:t xml:space="preserve">e/kWh =</w:t>
      </w:r>
      <w:r>
        <w:t xml:space="preserve"> </w:t>
      </w:r>
      <w:r>
        <w:rPr>
          <w:bCs/>
          <w:b/>
        </w:rPr>
        <w:t xml:space="preserve">20.0 kgCO</w:t>
      </w:r>
      <w:r>
        <w:rPr>
          <w:vertAlign w:val="subscript"/>
          <w:bCs/>
          <w:b/>
        </w:rPr>
        <w:t xml:space="preserve">2</w:t>
      </w:r>
      <w:r>
        <w:rPr>
          <w:bCs/>
          <w:b/>
        </w:rPr>
        <w:t xml:space="preserve">e</w:t>
      </w:r>
    </w:p>
    <w:p>
      <w:pPr>
        <w:pStyle w:val="BodyText"/>
      </w:pPr>
      <w:r>
        <w:rPr>
          <w:iCs/>
          <w:i/>
        </w:rPr>
        <w:t xml:space="preserve">Note: The GHG Protocol\'s 2026 revisions for Category 11 are exploring a shift from "lifetime accounting" to an "annualized stock-based model," which rewards product durability. This calculation currently follows the lifetime approach, but future reporting would adapt to the annualized model.</w:t>
      </w:r>
    </w:p>
    <w:bookmarkEnd w:id="44"/>
    <w:bookmarkStart w:id="45" w:name="X9f66eef2700632e081dfe139021cb724ffcd2c5"/>
    <w:p>
      <w:pPr>
        <w:pStyle w:val="Heading4"/>
      </w:pPr>
      <w:r>
        <w:t xml:space="preserve">5.3.3. Category 12: End-of-Life Treatment of Sold Products</w:t>
      </w:r>
    </w:p>
    <w:p>
      <w:pPr>
        <w:pStyle w:val="FirstParagraph"/>
      </w:pPr>
      <w:r>
        <w:t xml:space="preserve">Product Weight for EoL: 1.2 kg (estimated).</w:t>
      </w:r>
      <w:r>
        <w:br/>
      </w:r>
      <w:r>
        <w:t xml:space="preserve">Recyclability Percentage: 85% [cite: uptslwezdp]</w:t>
      </w:r>
      <w:r>
        <w:br/>
      </w:r>
      <w:r>
        <w:t xml:space="preserve">Weight Recycled: 1.2 kg * 0.85 = 1.02 kg</w:t>
      </w:r>
      <w:r>
        <w:br/>
      </w:r>
      <w:r>
        <w:t xml:space="preserve">Weight Disposed (landfill/incineration): 1.2 kg * 0.15 = 0.18 kg</w:t>
      </w:r>
    </w:p>
    <w:p>
      <w:pPr>
        <w:pStyle w:val="BodyText"/>
      </w:pPr>
      <w:r>
        <w:rPr>
          <w:bCs/>
          <w:b/>
        </w:rPr>
        <w:t xml:space="preserve">Emissions from Disposal:</w:t>
      </w:r>
      <w:r>
        <w:br/>
      </w:r>
      <w:r>
        <w:t xml:space="preserve">Illustrative Emission Factor for Mixed Waste Disposal: 0.3 kgCO</w:t>
      </w:r>
      <w:r>
        <w:rPr>
          <w:vertAlign w:val="subscript"/>
        </w:rPr>
        <w:t xml:space="preserve">2</w:t>
      </w:r>
      <w:r>
        <w:t xml:space="preserve">e/kg.</w:t>
      </w:r>
      <w:r>
        <w:br/>
      </w:r>
      <w:r>
        <w:t xml:space="preserve">Calculation: 0.18 kg * 0.3 kgCO</w:t>
      </w:r>
      <w:r>
        <w:rPr>
          <w:vertAlign w:val="subscript"/>
        </w:rPr>
        <w:t xml:space="preserve">2</w:t>
      </w:r>
      <w:r>
        <w:t xml:space="preserve">e/kg = 0.054 kgCO</w:t>
      </w:r>
      <w:r>
        <w:rPr>
          <w:vertAlign w:val="subscript"/>
        </w:rPr>
        <w:t xml:space="preserve">2</w:t>
      </w:r>
      <w:r>
        <w:t xml:space="preserve">e</w:t>
      </w:r>
    </w:p>
    <w:p>
      <w:pPr>
        <w:pStyle w:val="BodyText"/>
      </w:pPr>
      <w:r>
        <w:rPr>
          <w:bCs/>
          <w:b/>
        </w:rPr>
        <w:t xml:space="preserve">Avoided Emissions (Recycling Credits):</w:t>
      </w:r>
      <w:r>
        <w:br/>
      </w:r>
      <w:r>
        <w:t xml:space="preserve">Illustrative Avoided Emission Factor for Recycling (average for materials in product): -1.5 kgCO</w:t>
      </w:r>
      <w:r>
        <w:rPr>
          <w:vertAlign w:val="subscript"/>
        </w:rPr>
        <w:t xml:space="preserve">2</w:t>
      </w:r>
      <w:r>
        <w:t xml:space="preserve">e/kg (representing the GHG savings from not producing virgin materials).</w:t>
      </w:r>
      <w:r>
        <w:br/>
      </w:r>
      <w:r>
        <w:t xml:space="preserve">Calculation: 1.02 kg * -1.5 kgCO</w:t>
      </w:r>
      <w:r>
        <w:rPr>
          <w:vertAlign w:val="subscript"/>
        </w:rPr>
        <w:t xml:space="preserve">2</w:t>
      </w:r>
      <w:r>
        <w:t xml:space="preserve">e/kg = -1.53 kgCO</w:t>
      </w:r>
      <w:r>
        <w:rPr>
          <w:vertAlign w:val="subscript"/>
        </w:rPr>
        <w:t xml:space="preserve">2</w:t>
      </w:r>
      <w:r>
        <w:t xml:space="preserve">e</w:t>
      </w:r>
    </w:p>
    <w:p>
      <w:pPr>
        <w:pStyle w:val="BodyText"/>
      </w:pPr>
      <w:r>
        <w:t xml:space="preserve">The presence of "Circular/Take-back Programs" (sygkvspqpn) strongly supports the high recyclability rate and facilitates the effective recovery of materials, thus enhancing the overall circularity benefits.</w:t>
      </w:r>
      <w:r>
        <w:br/>
      </w:r>
      <w:r>
        <w:rPr>
          <w:bCs/>
          <w:b/>
        </w:rPr>
        <w:t xml:space="preserve">Total End-of-Life Emissions (Net): 0.054 - 1.53 = -1.476 kgCO</w:t>
      </w:r>
      <w:r>
        <w:rPr>
          <w:vertAlign w:val="subscript"/>
          <w:bCs/>
          <w:b/>
        </w:rPr>
        <w:t xml:space="preserve">2</w:t>
      </w:r>
      <w:r>
        <w:rPr>
          <w:bCs/>
          <w:b/>
        </w:rPr>
        <w:t xml:space="preserve">e (a net credit)</w:t>
      </w:r>
    </w:p>
    <w:bookmarkEnd w:id="45"/>
    <w:bookmarkEnd w:id="46"/>
    <w:bookmarkStart w:id="47" w:name="X299a3717db401fbc63eac38de0814f3ad8939f4"/>
    <w:p>
      <w:pPr>
        <w:pStyle w:val="Heading3"/>
      </w:pPr>
      <w:r>
        <w:t xml:space="preserve">5.4. Total Product Carbon Footprint (PCF) Summary</w:t>
      </w:r>
    </w:p>
    <w:p>
      <w:pPr>
        <w:pStyle w:val="FirstParagraph"/>
      </w:pPr>
      <w:r>
        <w:t xml:space="preserve">The calculated PCF for 1.0 unit of ggiyojkkst is summarized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&amp; GHG Scope</w:t>
            </w:r>
          </w:p>
        </w:tc>
        <w:tc>
          <w:tcPr/>
          <w:p>
            <w:pPr>
              <w:pStyle w:val="Compact"/>
              <w:jc w:val="left"/>
            </w:pPr>
            <w:r>
              <w:t xml:space="preserve">Emissions (kgCO</w:t>
            </w:r>
            <w:r>
              <w:rPr>
                <w:vertAlign w:val="subscript"/>
              </w:rPr>
              <w:t xml:space="preserve">2</w:t>
            </w:r>
            <w:r>
              <w:t xml:space="preserve">e/unit)</w:t>
            </w:r>
          </w:p>
        </w:tc>
        <w:tc>
          <w:tcPr/>
          <w:p>
            <w:pPr>
              <w:pStyle w:val="Compact"/>
              <w:jc w:val="left"/>
            </w:pPr>
            <w:r>
              <w:t xml:space="preserve">Notes</w:t>
            </w:r>
          </w:p>
        </w:tc>
      </w:tr>
      <w:tr>
        <w:tc>
          <w:tcPr/>
          <w:p>
            <w:pPr>
              <w:pStyle w:val="Compact"/>
              <w:jc w:val="left"/>
            </w:pPr>
            <w:r>
              <w:rPr>
                <w:bCs/>
                <w:b/>
              </w:rPr>
              <w:t xml:space="preserve">Scope 3 Upstream:</w:t>
            </w:r>
          </w:p>
        </w:tc>
        <w:tc>
          <w:tcPr/>
          <w:p>
            <w:pPr>
              <w:pStyle w:val="Compact"/>
            </w:pPr>
          </w:p>
        </w:tc>
        <w:tc>
          <w:tcPr/>
          <w:p>
            <w:pPr>
              <w:pStyle w:val="Compact"/>
            </w:pPr>
          </w:p>
        </w:tc>
      </w:tr>
      <w:tr>
        <w:tc>
          <w:tcPr/>
          <w:p>
            <w:pPr>
              <w:pStyle w:val="Compact"/>
              <w:jc w:val="left"/>
            </w:pPr>
            <w:r>
              <w:t xml:space="preserve">  Category 1: Purchased Goods and Services (Materials)</w:t>
            </w:r>
          </w:p>
        </w:tc>
        <w:tc>
          <w:tcPr/>
          <w:p>
            <w:pPr>
              <w:pStyle w:val="Compact"/>
              <w:jc w:val="left"/>
            </w:pPr>
            <w:r>
              <w:t xml:space="preserve">10.025</w:t>
            </w:r>
          </w:p>
        </w:tc>
        <w:tc>
          <w:tcPr/>
          <w:p>
            <w:pPr>
              <w:pStyle w:val="Compact"/>
              <w:jc w:val="left"/>
            </w:pPr>
            <w:r>
              <w:t xml:space="preserve">Based on BOM (Illustrative EFs)</w:t>
            </w:r>
          </w:p>
        </w:tc>
      </w:tr>
      <w:tr>
        <w:tc>
          <w:tcPr/>
          <w:p>
            <w:pPr>
              <w:pStyle w:val="Compact"/>
              <w:jc w:val="left"/>
            </w:pPr>
            <w:r>
              <w:t xml:space="preserve">  Category 4: Upstream Transportation and Distribution</w:t>
            </w:r>
          </w:p>
        </w:tc>
        <w:tc>
          <w:tcPr/>
          <w:p>
            <w:pPr>
              <w:pStyle w:val="Compact"/>
              <w:jc w:val="left"/>
            </w:pPr>
            <w:r>
              <w:t xml:space="preserve">0.060</w:t>
            </w:r>
          </w:p>
        </w:tc>
        <w:tc>
          <w:tcPr/>
          <w:p>
            <w:pPr>
              <w:pStyle w:val="Compact"/>
              <w:jc w:val="left"/>
            </w:pPr>
            <w:r>
              <w:t xml:space="preserve">Transport of raw materials to factory</w:t>
            </w:r>
          </w:p>
        </w:tc>
      </w:tr>
      <w:tr>
        <w:tc>
          <w:tcPr/>
          <w:p>
            <w:pPr>
              <w:pStyle w:val="Compact"/>
              <w:jc w:val="left"/>
            </w:pPr>
            <w:r>
              <w:rPr>
                <w:bCs/>
                <w:b/>
              </w:rPr>
              <w:t xml:space="preserve">Scope 1:</w:t>
            </w:r>
            <w:r>
              <w:t xml:space="preserve"> </w:t>
            </w:r>
            <w:r>
              <w:t xml:space="preserve">Direct Emissions (Manufacturing)</w:t>
            </w:r>
          </w:p>
        </w:tc>
        <w:tc>
          <w:tcPr/>
          <w:p>
            <w:pPr>
              <w:pStyle w:val="Compact"/>
              <w:jc w:val="left"/>
            </w:pPr>
            <w:r>
              <w:t xml:space="preserve">0.010</w:t>
            </w:r>
          </w:p>
        </w:tc>
        <w:tc>
          <w:tcPr/>
          <w:p>
            <w:pPr>
              <w:pStyle w:val="Compact"/>
              <w:jc w:val="left"/>
            </w:pPr>
            <w:r>
              <w:t xml:space="preserve">Direct emissions from factory operations (illustrative)</w:t>
            </w:r>
          </w:p>
        </w:tc>
      </w:tr>
      <w:tr>
        <w:tc>
          <w:tcPr/>
          <w:p>
            <w:pPr>
              <w:pStyle w:val="Compact"/>
              <w:jc w:val="left"/>
            </w:pPr>
            <w:r>
              <w:rPr>
                <w:bCs/>
                <w:b/>
              </w:rPr>
              <w:t xml:space="preserve">Scope 2:</w:t>
            </w:r>
            <w:r>
              <w:t xml:space="preserve"> </w:t>
            </w:r>
            <w:r>
              <w:t xml:space="preserve">Energy Indirect Emissions (Manufacturing)</w:t>
            </w:r>
          </w:p>
        </w:tc>
        <w:tc>
          <w:tcPr/>
          <w:p>
            <w:pPr>
              <w:pStyle w:val="Compact"/>
              <w:jc w:val="left"/>
            </w:pPr>
            <w:r>
              <w:t xml:space="preserve">0.149</w:t>
            </w:r>
          </w:p>
        </w:tc>
        <w:tc>
          <w:tcPr/>
          <w:p>
            <w:pPr>
              <w:pStyle w:val="Compact"/>
              <w:jc w:val="left"/>
            </w:pPr>
            <w:r>
              <w:t xml:space="preserve">Purchased electricity for production (China Grid EF, 70% renewable)</w:t>
            </w:r>
          </w:p>
        </w:tc>
      </w:tr>
      <w:tr>
        <w:tc>
          <w:tcPr/>
          <w:p>
            <w:pPr>
              <w:pStyle w:val="Compact"/>
              <w:jc w:val="left"/>
            </w:pPr>
            <w:r>
              <w:rPr>
                <w:bCs/>
                <w:b/>
              </w:rPr>
              <w:t xml:space="preserve">Scope 3 Downstream:</w:t>
            </w:r>
          </w:p>
        </w:tc>
        <w:tc>
          <w:tcPr/>
          <w:p>
            <w:pPr>
              <w:pStyle w:val="Compact"/>
            </w:pPr>
          </w:p>
        </w:tc>
        <w:tc>
          <w:tcPr/>
          <w:p>
            <w:pPr>
              <w:pStyle w:val="Compact"/>
            </w:pPr>
          </w:p>
        </w:tc>
      </w:tr>
      <w:tr>
        <w:tc>
          <w:tcPr/>
          <w:p>
            <w:pPr>
              <w:pStyle w:val="Compact"/>
              <w:jc w:val="left"/>
            </w:pPr>
            <w:r>
              <w:t xml:space="preserve">  Category 9: Downstream Transportation and Distribution</w:t>
            </w:r>
          </w:p>
        </w:tc>
        <w:tc>
          <w:tcPr/>
          <w:p>
            <w:pPr>
              <w:pStyle w:val="Compact"/>
              <w:jc w:val="left"/>
            </w:pPr>
            <w:r>
              <w:t xml:space="preserve">0.680</w:t>
            </w:r>
          </w:p>
        </w:tc>
        <w:tc>
          <w:tcPr/>
          <w:p>
            <w:pPr>
              <w:pStyle w:val="Compact"/>
              <w:jc w:val="left"/>
            </w:pPr>
            <w:r>
              <w:t xml:space="preserve">Transport from factory to customer (Road freight + Parcel post)</w:t>
            </w:r>
          </w:p>
        </w:tc>
      </w:tr>
      <w:tr>
        <w:tc>
          <w:tcPr/>
          <w:p>
            <w:pPr>
              <w:pStyle w:val="Compact"/>
              <w:jc w:val="left"/>
            </w:pPr>
            <w:r>
              <w:t xml:space="preserve">  Category 11: Use of Sold Products</w:t>
            </w:r>
          </w:p>
        </w:tc>
        <w:tc>
          <w:tcPr/>
          <w:p>
            <w:pPr>
              <w:pStyle w:val="Compact"/>
              <w:jc w:val="left"/>
            </w:pPr>
            <w:r>
              <w:t xml:space="preserve">20.000</w:t>
            </w:r>
          </w:p>
        </w:tc>
        <w:tc>
          <w:tcPr/>
          <w:p>
            <w:pPr>
              <w:pStyle w:val="Compact"/>
              <w:jc w:val="left"/>
            </w:pPr>
            <w:r>
              <w:t xml:space="preserve">Energy consumption during product lifespan</w:t>
            </w:r>
          </w:p>
        </w:tc>
      </w:tr>
      <w:tr>
        <w:tc>
          <w:tcPr/>
          <w:p>
            <w:pPr>
              <w:pStyle w:val="Compact"/>
              <w:jc w:val="left"/>
            </w:pPr>
            <w:r>
              <w:t xml:space="preserve">  Category 12: End-of-Life Treatment of Sold Products</w:t>
            </w:r>
          </w:p>
        </w:tc>
        <w:tc>
          <w:tcPr/>
          <w:p>
            <w:pPr>
              <w:pStyle w:val="Compact"/>
              <w:jc w:val="left"/>
            </w:pPr>
            <w:r>
              <w:t xml:space="preserve">-1.476</w:t>
            </w:r>
          </w:p>
        </w:tc>
        <w:tc>
          <w:tcPr/>
          <w:p>
            <w:pPr>
              <w:pStyle w:val="Compact"/>
              <w:jc w:val="left"/>
            </w:pPr>
            <w:r>
              <w:t xml:space="preserve">Net emissions/credits from disposal and recycling</w:t>
            </w:r>
          </w:p>
        </w:tc>
      </w:tr>
      <w:tr>
        <w:tc>
          <w:tcPr/>
          <w:p>
            <w:pPr>
              <w:pStyle w:val="Compact"/>
              <w:jc w:val="left"/>
            </w:pPr>
            <w:r>
              <w:rPr>
                <w:bCs/>
                <w:b/>
              </w:rPr>
              <w:t xml:space="preserve">TOTAL PRODUCT CARBON FOOTPRINT (PCF)</w:t>
            </w:r>
          </w:p>
        </w:tc>
        <w:tc>
          <w:tcPr/>
          <w:p>
            <w:pPr>
              <w:pStyle w:val="Compact"/>
              <w:jc w:val="left"/>
            </w:pPr>
            <w:r>
              <w:rPr>
                <w:bCs/>
                <w:b/>
              </w:rPr>
              <w:t xml:space="preserve">29.448</w:t>
            </w:r>
          </w:p>
        </w:tc>
        <w:tc>
          <w:tcPr/>
          <w:p>
            <w:pPr>
              <w:pStyle w:val="Compact"/>
              <w:jc w:val="left"/>
            </w:pPr>
            <w:r>
              <w:rPr>
                <w:bCs/>
                <w:b/>
              </w:rPr>
              <w:t xml:space="preserve">(kgCO</w:t>
            </w:r>
            <w:r>
              <w:rPr>
                <w:vertAlign w:val="subscript"/>
                <w:bCs/>
                <w:b/>
              </w:rPr>
              <w:t xml:space="preserve">2</w:t>
            </w:r>
            <w:r>
              <w:rPr>
                <w:bCs/>
                <w:b/>
              </w:rPr>
              <w:t xml:space="preserve">e per functional unit)</w:t>
            </w:r>
          </w:p>
        </w:tc>
      </w:tr>
    </w:tbl>
    <w:p>
      <w:pPr>
        <w:pStyle w:val="BodyText"/>
      </w:pPr>
      <w:r>
        <w:rPr>
          <w:iCs/>
          <w:i/>
        </w:rPr>
        <w:t xml:space="preserve">All emission factors used are illustrative and representative of industry averages (e.g., Ecoinvent, DEFRA/DESNZ) but would require specific database lookups for a precise, auditable report.</w:t>
      </w:r>
    </w:p>
    <w:p>
      <w:r>
        <w:pict>
          <v:rect style="width:0;height:1.5pt" o:hralign="center" o:hrstd="t" o:hr="t"/>
        </w:pict>
      </w:r>
    </w:p>
    <w:bookmarkEnd w:id="47"/>
    <w:bookmarkEnd w:id="48"/>
    <w:bookmarkStart w:id="51" w:name="ghg-protocol-updates-integration"/>
    <w:p>
      <w:pPr>
        <w:pStyle w:val="Heading2"/>
      </w:pPr>
      <w:r>
        <w:t xml:space="preserve">6. 2026 GHG Protocol Updates Integration</w:t>
      </w:r>
    </w:p>
    <w:bookmarkStart w:id="49" w:name="X5a4f551c90074bc557f30e0af419a5f70a48401"/>
    <w:p>
      <w:pPr>
        <w:pStyle w:val="Heading3"/>
      </w:pPr>
      <w:r>
        <w:t xml:space="preserve">6.1. Land Sector and Removals (LSR) Standard Application</w:t>
      </w:r>
    </w:p>
    <w:p>
      <w:pPr>
        <w:pStyle w:val="FirstParagraph"/>
      </w:pPr>
      <w:r>
        <w:t xml:space="preserve">The GHG Protocol\'s Land Sector and Removals (LSR) Standard, released on January 30, 2026, and effective January 1, 2027, provides requirements for accounting for emissions and removals from agricultural and land use activities, as well as technological CO</w:t>
      </w:r>
      <w:r>
        <w:rPr>
          <w:vertAlign w:val="subscript"/>
        </w:rPr>
        <w:t xml:space="preserve">2</w:t>
      </w:r>
      <w:r>
        <w:t xml:space="preserve"> </w:t>
      </w:r>
      <w:r>
        <w:t xml:space="preserve">removals.</w:t>
      </w:r>
    </w:p>
    <w:p>
      <w:pPr>
        <w:pStyle w:val="BodyText"/>
      </w:pPr>
      <w:r>
        <w:t xml:space="preserve">For</w:t>
      </w:r>
      <w:r>
        <w:t xml:space="preserve"> </w:t>
      </w:r>
      <w:r>
        <w:rPr>
          <w:bCs/>
          <w:b/>
        </w:rPr>
        <w:t xml:space="preserve">ggiyojkkst</w:t>
      </w:r>
      <w:r>
        <w:t xml:space="preserve">, as an industrial product, direct land-use change emissions within edgdixnyqr\'s operations are not directly relevant. However, the LSR Standard\'s principles apply indirectly through the supply chain (Scope 3, Category 1) if raw materials (e.g., bio-based plastics, paper packaging from virgin wood pulp) originate from land-intensive sectors. A deeper analysis would trace these materials to assess any associated land-use change or land management emissions/removals, as the LSR Standard aims to integrate land-based GHG impacts into corporate inventories. Currently, the impact is embedded within the material emission factors.</w:t>
      </w:r>
    </w:p>
    <w:bookmarkEnd w:id="49"/>
    <w:bookmarkStart w:id="50" w:name="scope-3-compliance-95-coverage"/>
    <w:p>
      <w:pPr>
        <w:pStyle w:val="Heading3"/>
      </w:pPr>
      <w:r>
        <w:t xml:space="preserve">6.2. Scope 3 Compliance: 95% Coverage</w:t>
      </w:r>
    </w:p>
    <w:p>
      <w:pPr>
        <w:pStyle w:val="FirstParagraph"/>
      </w:pPr>
      <w:r>
        <w:t xml:space="preserve">As per the 2026 GHG Protocol requirements, companies must account for at least 95% of their total relevant Scope 3 emissions to claim conformance. This report aims to achieve this by including all significant upstream and downstream categories, specifically:</w:t>
      </w:r>
    </w:p>
    <w:p>
      <w:pPr>
        <w:numPr>
          <w:ilvl w:val="0"/>
          <w:numId w:val="1009"/>
        </w:numPr>
        <w:pStyle w:val="Compact"/>
      </w:pPr>
      <w:r>
        <w:t xml:space="preserve">Purchased Goods and Services (Materials)</w:t>
      </w:r>
    </w:p>
    <w:p>
      <w:pPr>
        <w:numPr>
          <w:ilvl w:val="0"/>
          <w:numId w:val="1009"/>
        </w:numPr>
        <w:pStyle w:val="Compact"/>
      </w:pPr>
      <w:r>
        <w:t xml:space="preserve">Upstream Transportation and Distribution</w:t>
      </w:r>
    </w:p>
    <w:p>
      <w:pPr>
        <w:numPr>
          <w:ilvl w:val="0"/>
          <w:numId w:val="1009"/>
        </w:numPr>
        <w:pStyle w:val="Compact"/>
      </w:pPr>
      <w:r>
        <w:t xml:space="preserve">Downstream Transportation and Distribution</w:t>
      </w:r>
    </w:p>
    <w:p>
      <w:pPr>
        <w:numPr>
          <w:ilvl w:val="0"/>
          <w:numId w:val="1009"/>
        </w:numPr>
        <w:pStyle w:val="Compact"/>
      </w:pPr>
      <w:r>
        <w:t xml:space="preserve">Use of Sold Products</w:t>
      </w:r>
    </w:p>
    <w:p>
      <w:pPr>
        <w:numPr>
          <w:ilvl w:val="0"/>
          <w:numId w:val="1009"/>
        </w:numPr>
        <w:pStyle w:val="Compact"/>
      </w:pPr>
      <w:r>
        <w:t xml:space="preserve">End-of-Life Treatment of Sold Products</w:t>
      </w:r>
    </w:p>
    <w:p>
      <w:pPr>
        <w:pStyle w:val="FirstParagraph"/>
      </w:pPr>
      <w:r>
        <w:t xml:space="preserve">The detailed inclusion of these categories, driven by the provided parameters, ensures a comprehensive assessment of the value chain, minimizing exclusions and maximizing the completeness of the Scope 3 inventory. Exclusions, if any, would be quantified and justified to remain below the 5% threshold.</w:t>
      </w:r>
    </w:p>
    <w:p>
      <w:pPr>
        <w:pStyle w:val="BodyText"/>
      </w:pPr>
      <w:r>
        <w:t xml:space="preserve">Furthermore, the 2026 updates emphasize data disaggregation by source type (primary vs. secondary) and a potential shift to annualized emissions for the Use of Sold Products (Category 11), which would be addressed in future reporting as the standard is finalized.</w:t>
      </w:r>
    </w:p>
    <w:p>
      <w:r>
        <w:pict>
          <v:rect style="width:0;height:1.5pt" o:hralign="center" o:hrstd="t" o:hr="t"/>
        </w:pict>
      </w:r>
    </w:p>
    <w:bookmarkEnd w:id="50"/>
    <w:bookmarkEnd w:id="51"/>
    <w:bookmarkStart w:id="52" w:name="hotspots-and-recommendations"/>
    <w:p>
      <w:pPr>
        <w:pStyle w:val="Heading2"/>
      </w:pPr>
      <w:r>
        <w:t xml:space="preserve">7. Hotspots and Recommendations</w:t>
      </w:r>
    </w:p>
    <w:p>
      <w:pPr>
        <w:pStyle w:val="FirstParagraph"/>
      </w:pPr>
      <w:r>
        <w:t xml:space="preserve">Based on the PCF analysis for</w:t>
      </w:r>
      <w:r>
        <w:t xml:space="preserve"> </w:t>
      </w:r>
      <w:r>
        <w:rPr>
          <w:bCs/>
          <w:b/>
        </w:rPr>
        <w:t xml:space="preserve">ggiyojkkst</w:t>
      </w:r>
      <w:r>
        <w:t xml:space="preserve">, the primary emission hotspots are identified:</w:t>
      </w:r>
    </w:p>
    <w:p>
      <w:pPr>
        <w:numPr>
          <w:ilvl w:val="0"/>
          <w:numId w:val="1010"/>
        </w:numPr>
        <w:pStyle w:val="Compact"/>
      </w:pPr>
      <w:r>
        <w:rPr>
          <w:bCs/>
          <w:b/>
        </w:rPr>
        <w:t xml:space="preserve">Use Phase (20.0 kgCO</w:t>
      </w:r>
      <w:r>
        <w:rPr>
          <w:vertAlign w:val="subscript"/>
          <w:bCs/>
          <w:b/>
        </w:rPr>
        <w:t xml:space="preserve">2</w:t>
      </w:r>
      <w:r>
        <w:rPr>
          <w:bCs/>
          <w:b/>
        </w:rPr>
        <w:t xml:space="preserve">e):</w:t>
      </w:r>
      <w:r>
        <w:t xml:space="preserve"> </w:t>
      </w:r>
      <w:r>
        <w:t xml:space="preserve">This is by far the largest contributor, highlighting the energy consumption during the product\'s operational life.</w:t>
      </w:r>
      <w:r>
        <w:br/>
      </w:r>
      <w:r>
        <w:rPr>
          <w:iCs/>
          <w:i/>
        </w:rPr>
        <w:t xml:space="preserve">Recommendation:</w:t>
      </w:r>
      <w:r>
        <w:t xml:space="preserve"> </w:t>
      </w:r>
      <w:r>
        <w:t xml:space="preserve">Focus on improving energy efficiency of the product, exploring lower-carbon energy sources for users (e.g., designing for compatibility with renewable grids), and extending product lifespan to reduce the per-year impact.</w:t>
      </w:r>
    </w:p>
    <w:p>
      <w:pPr>
        <w:numPr>
          <w:ilvl w:val="0"/>
          <w:numId w:val="1010"/>
        </w:numPr>
        <w:pStyle w:val="Compact"/>
      </w:pPr>
      <w:r>
        <w:rPr>
          <w:bCs/>
          <w:b/>
        </w:rPr>
        <w:t xml:space="preserve">Material Acquisition &amp; Pre-processing (10.025 kgCO</w:t>
      </w:r>
      <w:r>
        <w:rPr>
          <w:vertAlign w:val="subscript"/>
          <w:bCs/>
          <w:b/>
        </w:rPr>
        <w:t xml:space="preserve">2</w:t>
      </w:r>
      <w:r>
        <w:rPr>
          <w:bCs/>
          <w:b/>
        </w:rPr>
        <w:t xml:space="preserve">e):</w:t>
      </w:r>
      <w:r>
        <w:t xml:space="preserve"> </w:t>
      </w:r>
      <w:r>
        <w:t xml:space="preserve">Materials, particularly aluminum and electronic components, contribute significantly.</w:t>
      </w:r>
      <w:r>
        <w:br/>
      </w:r>
      <w:r>
        <w:rPr>
          <w:iCs/>
          <w:i/>
        </w:rPr>
        <w:t xml:space="preserve">Recommendation:</w:t>
      </w:r>
      <w:r>
        <w:t xml:space="preserve"> </w:t>
      </w:r>
      <w:r>
        <w:t xml:space="preserve">Investigate alternative low-carbon materials, increase recycled content sourcing, optimize material usage, and engage with suppliers to reduce their upstream emissions.</w:t>
      </w:r>
    </w:p>
    <w:p>
      <w:pPr>
        <w:numPr>
          <w:ilvl w:val="0"/>
          <w:numId w:val="1010"/>
        </w:numPr>
        <w:pStyle w:val="Compact"/>
      </w:pPr>
      <w:r>
        <w:rPr>
          <w:bCs/>
          <w:b/>
        </w:rPr>
        <w:t xml:space="preserve">Downstream Transportation (0.68 kgCO</w:t>
      </w:r>
      <w:r>
        <w:rPr>
          <w:vertAlign w:val="subscript"/>
          <w:bCs/>
          <w:b/>
        </w:rPr>
        <w:t xml:space="preserve">2</w:t>
      </w:r>
      <w:r>
        <w:rPr>
          <w:bCs/>
          <w:b/>
        </w:rPr>
        <w:t xml:space="preserve">e):</w:t>
      </w:r>
      <w:r>
        <w:t xml:space="preserve"> </w:t>
      </w:r>
      <w:r>
        <w:t xml:space="preserve">While smaller than other phases, long-distance transport and last-mile delivery contribute.</w:t>
      </w:r>
      <w:r>
        <w:br/>
      </w:r>
      <w:r>
        <w:rPr>
          <w:iCs/>
          <w:i/>
        </w:rPr>
        <w:t xml:space="preserve">Recommendation:</w:t>
      </w:r>
      <w:r>
        <w:t xml:space="preserve"> </w:t>
      </w:r>
      <w:r>
        <w:t xml:space="preserve">Optimize logistics routes, shift to lower-emission transport modes (e.g., rail or sea where feasible), and explore local production/sourcing where practical.</w:t>
      </w:r>
    </w:p>
    <w:p>
      <w:pPr>
        <w:numPr>
          <w:ilvl w:val="0"/>
          <w:numId w:val="1010"/>
        </w:numPr>
        <w:pStyle w:val="Compact"/>
      </w:pPr>
      <w:r>
        <w:rPr>
          <w:bCs/>
          <w:b/>
        </w:rPr>
        <w:t xml:space="preserve">End-of-Life (Net Credit of -1.476 kgCO</w:t>
      </w:r>
      <w:r>
        <w:rPr>
          <w:vertAlign w:val="subscript"/>
          <w:bCs/>
          <w:b/>
        </w:rPr>
        <w:t xml:space="preserve">2</w:t>
      </w:r>
      <w:r>
        <w:rPr>
          <w:bCs/>
          <w:b/>
        </w:rPr>
        <w:t xml:space="preserve">e):</w:t>
      </w:r>
      <w:r>
        <w:t xml:space="preserve"> </w:t>
      </w:r>
      <w:r>
        <w:t xml:space="preserve">The high recyclability and existing circular programs provide a significant environmental benefit.</w:t>
      </w:r>
      <w:r>
        <w:br/>
      </w:r>
      <w:r>
        <w:rPr>
          <w:iCs/>
          <w:i/>
        </w:rPr>
        <w:t xml:space="preserve">Recommendation:</w:t>
      </w:r>
      <w:r>
        <w:t xml:space="preserve"> </w:t>
      </w:r>
      <w:r>
        <w:t xml:space="preserve">Continue to strengthen circular programs, ensure high collection and recycling rates, and explore innovative end-of-life solutions to maximize material recovery and avoided emissions.</w:t>
      </w:r>
    </w:p>
    <w:p>
      <w:r>
        <w:pict>
          <v:rect style="width:0;height:1.5pt" o:hralign="center" o:hrstd="t" o:hr="t"/>
        </w:pict>
      </w:r>
    </w:p>
    <w:bookmarkEnd w:id="52"/>
    <w:bookmarkStart w:id="54" w:name="conclusion"/>
    <w:p>
      <w:pPr>
        <w:pStyle w:val="Heading2"/>
      </w:pPr>
      <w:r>
        <w:t xml:space="preserve">8. Conclusion</w:t>
      </w:r>
    </w:p>
    <w:p>
      <w:pPr>
        <w:pStyle w:val="FirstParagraph"/>
      </w:pPr>
      <w:r>
        <w:t xml:space="preserve">This comprehensive Product Carbon Footprint analysis for</w:t>
      </w:r>
      <w:r>
        <w:t xml:space="preserve"> </w:t>
      </w:r>
      <w:r>
        <w:rPr>
          <w:bCs/>
          <w:b/>
        </w:rPr>
        <w:t xml:space="preserve">ggiyojkkst</w:t>
      </w:r>
      <w:r>
        <w:t xml:space="preserve"> </w:t>
      </w:r>
      <w:r>
        <w:t xml:space="preserve">by</w:t>
      </w:r>
      <w:r>
        <w:t xml:space="preserve"> </w:t>
      </w:r>
      <w:r>
        <w:rPr>
          <w:bCs/>
          <w:b/>
        </w:rPr>
        <w:t xml:space="preserve">edgdixnyqr</w:t>
      </w:r>
      <w:r>
        <w:t xml:space="preserve">, conducted by</w:t>
      </w:r>
      <w:r>
        <w:t xml:space="preserve"> </w:t>
      </w:r>
      <w:r>
        <w:rPr>
          <w:bCs/>
          <w:b/>
        </w:rPr>
        <w:t xml:space="preserve">yzqrfhfqdn</w:t>
      </w:r>
      <w:r>
        <w:t xml:space="preserve">, reveals a total lifecycle GHG emission of</w:t>
      </w:r>
      <w:r>
        <w:t xml:space="preserve"> </w:t>
      </w:r>
      <w:r>
        <w:rPr>
          <w:bCs/>
          <w:b/>
        </w:rPr>
        <w:t xml:space="preserve">29.448 kgCO</w:t>
      </w:r>
      <w:r>
        <w:rPr>
          <w:vertAlign w:val="subscript"/>
          <w:bCs/>
          <w:b/>
        </w:rPr>
        <w:t xml:space="preserve">2</w:t>
      </w:r>
      <w:r>
        <w:rPr>
          <w:bCs/>
          <w:b/>
        </w:rPr>
        <w:t xml:space="preserve">e</w:t>
      </w:r>
      <w:r>
        <w:t xml:space="preserve"> </w:t>
      </w:r>
      <w:r>
        <w:t xml:space="preserve">per functional unit. The Use Phase and Material Acquisition are the most significant contributors, offering the greatest potential for emission reductions. By focusing on energy efficiency in use, sustainable material sourcing, and optimizing logistics, edgdixnyqr can significantly reduce the environmental impact of</w:t>
      </w:r>
      <w:r>
        <w:t xml:space="preserve"> </w:t>
      </w:r>
      <w:r>
        <w:rPr>
          <w:bCs/>
          <w:b/>
        </w:rPr>
        <w:t xml:space="preserve">ggiyojkkst</w:t>
      </w:r>
      <w:r>
        <w:t xml:space="preserve"> </w:t>
      </w:r>
      <w:r>
        <w:t xml:space="preserve">and demonstrate strong commitment to sustainability. Adherence to the evolving GHG Protocol standards, including the 2026 LSR Standard and the 95% Scope 3 coverage, positions edgdixnyqr as a leader in transparent and robust carbon accounting.</w:t>
      </w:r>
    </w:p>
    <w:p>
      <w:pPr>
        <w:pStyle w:val="BodyText"/>
      </w:pPr>
      <w:r>
        <w:t xml:space="preserve">Confidential - Internal Use Only | Page</w:t>
      </w:r>
      <w:r>
        <w:t xml:space="preserve"> </w:t>
      </w:r>
      <w:bookmarkStart w:id="53" w:name="page-number"/>
      <w:bookmarkEnd w:id="53"/>
    </w:p>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ggiyojkkst</dc:title>
  <dc:creator/>
  <dc:description>High-detail Product Carbon Footprint (PCF) analysis report for ggiyojkkst by edgdixnyqr, conducted by Senior Sustainability Consultant yzqrfhfqdn, adhering to GHG Protocol and 2026 updates.</dc:description>
  <dc:language>en</dc:language>
  <cp:keywords/>
  <dcterms:created xsi:type="dcterms:W3CDTF">2026-07-15T12:52:50Z</dcterms:created>
  <dcterms:modified xsi:type="dcterms:W3CDTF">2026-07-15T12:52:50Z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