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gfxmghdeoo</w:t>
      </w:r>
      <w:r>
        <w:t xml:space="preserve"> </w:t>
      </w:r>
      <w:r>
        <w:t xml:space="preserve">-</w:t>
      </w:r>
      <w:r>
        <w:t xml:space="preserve"> </w:t>
      </w:r>
      <w:r>
        <w:t xml:space="preserve">phkymnvdtt</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gfxmghdeoo"/>
    <w:p>
      <w:pPr>
        <w:pStyle w:val="Heading2"/>
      </w:pPr>
      <w:r>
        <w:t xml:space="preserve">For Product: gfxmghdeoo</w:t>
      </w:r>
    </w:p>
    <w:p>
      <w:pPr>
        <w:pStyle w:val="FirstParagraph"/>
      </w:pPr>
      <w:r>
        <w:rPr>
          <w:bCs/>
          <w:b/>
        </w:rPr>
        <w:t xml:space="preserve">Company Name:</w:t>
      </w:r>
      <w:r>
        <w:t xml:space="preserve"> </w:t>
      </w:r>
      <w:r>
        <w:t xml:space="preserve">phkymnvdtt</w:t>
      </w:r>
    </w:p>
    <w:p>
      <w:pPr>
        <w:pStyle w:val="BodyText"/>
      </w:pPr>
      <w:r>
        <w:rPr>
          <w:bCs/>
          <w:b/>
        </w:rPr>
        <w:t xml:space="preserve">Senior Sustainability Consultant:</w:t>
      </w:r>
      <w:r>
        <w:t xml:space="preserve"> </w:t>
      </w:r>
      <w:r>
        <w:t xml:space="preserve">szkokwtqlo</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specific conditions and data limitations may influence the final outcomes.</w:t>
      </w:r>
    </w:p>
    <w:bookmarkEnd w:id="20"/>
    <w:bookmarkEnd w:id="21"/>
    <w:bookmarkStart w:id="22" w:name="product-carbon-footprint-report"/>
    <w:p>
      <w:pPr>
        <w:pStyle w:val="Heading2"/>
      </w:pPr>
      <w:r>
        <w:t xml:space="preserve">Product Carbon Footprint Report</w:t>
      </w:r>
    </w:p>
    <w:p>
      <w:pPr>
        <w:pStyle w:val="FirstParagraph"/>
      </w:pPr>
      <w:r>
        <w:t xml:space="preserve">Generated Date: June 3, 2026</w:t>
      </w:r>
    </w:p>
    <w:bookmarkEnd w:id="22"/>
    <w:bookmarkStart w:id="48" w:name="executive-summary"/>
    <w:p>
      <w:pPr>
        <w:pStyle w:val="Heading1"/>
      </w:pPr>
      <w:r>
        <w:t xml:space="preserve">Executive Summary</w:t>
      </w:r>
    </w:p>
    <w:p>
      <w:pPr>
        <w:pStyle w:val="FirstParagraph"/>
      </w:pPr>
      <w:r>
        <w:t xml:space="preserve">This document presents a high-detail Product Carbon Footprint (PCF) analysis for</w:t>
      </w:r>
      <w:r>
        <w:t xml:space="preserve"> </w:t>
      </w:r>
      <w:r>
        <w:rPr>
          <w:bCs/>
          <w:b/>
        </w:rPr>
        <w:t xml:space="preserve">gfxmghdeoo</w:t>
      </w:r>
      <w:r>
        <w:t xml:space="preserve">, manufactured by</w:t>
      </w:r>
      <w:r>
        <w:t xml:space="preserve"> </w:t>
      </w:r>
      <w:r>
        <w:rPr>
          <w:bCs/>
          <w:b/>
        </w:rPr>
        <w:t xml:space="preserve">phkymnvdtt</w:t>
      </w:r>
      <w:r>
        <w:t xml:space="preserve">. The analysis was conducted by</w:t>
      </w:r>
      <w:r>
        <w:t xml:space="preserve"> </w:t>
      </w:r>
      <w:r>
        <w:rPr>
          <w:bCs/>
          <w:b/>
        </w:rPr>
        <w:t xml:space="preserve">szkokwtqlo</w:t>
      </w:r>
      <w:r>
        <w:t xml:space="preserve">, a Senior Sustainability Consultant specializing in GHG Protocol. Adhering strictly to the GHG Protocol and incorporating the 2026 Land Sector and Removals (LSR) Standard updates, this report quantifies the greenhouse gas (GHG) emissions across the product\'s entire lifecycle, from raw material acquisition to end-of-life. The total estimated PCF for one functional unit of gfxmghdeoo is</w:t>
      </w:r>
      <w:r>
        <w:t xml:space="preserve"> </w:t>
      </w:r>
      <w:r>
        <w:rPr>
          <w:bCs/>
          <w:b/>
        </w:rPr>
        <w:t xml:space="preserve">69.925 kgCO2e</w:t>
      </w:r>
      <w:r>
        <w:t xml:space="preserve">, with the Use Phase identified as the primary hotspot.</w:t>
      </w:r>
    </w:p>
    <w:p>
      <w:r>
        <w:pict>
          <v:rect style="width:0;height:1.5pt" o:hralign="center" o:hrstd="t" o:hr="t"/>
        </w:pict>
      </w:r>
    </w:p>
    <w:bookmarkStart w:id="27"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gfxmghdeoo</w:t>
      </w:r>
      <w:r>
        <w:t xml:space="preserve"> </w:t>
      </w:r>
      <w:r>
        <w:t xml:space="preserve">follows the methodology outlined by the</w:t>
      </w:r>
      <w:r>
        <w:t xml:space="preserve"> </w:t>
      </w:r>
      <w:r>
        <w:rPr>
          <w:bCs/>
          <w:b/>
        </w:rPr>
        <w:t xml:space="preserve">GHG Protocol</w:t>
      </w:r>
      <w:r>
        <w:t xml:space="preserve">, specifically the Product Life Cycle Accounting and Reporting Standard. This comprehensive approach ensures consistency, transparency, and comparability of emissions data.</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gfxmghdeoo</w:t>
      </w:r>
      <w:r>
        <w:t xml:space="preserve">.</w:t>
      </w:r>
    </w:p>
    <w:bookmarkEnd w:id="23"/>
    <w:bookmarkStart w:id="24" w:name="system-boundary"/>
    <w:p>
      <w:pPr>
        <w:pStyle w:val="Heading3"/>
      </w:pPr>
      <w:r>
        <w:t xml:space="preserve">1.2. System Boundary</w:t>
      </w:r>
    </w:p>
    <w:p>
      <w:pPr>
        <w:pStyle w:val="FirstParagraph"/>
      </w:pPr>
      <w:r>
        <w:t xml:space="preserve">The system boundary for this PCF analysis is \'cradle-to-grave\', encompassing all significant lifecycle stages of</w:t>
      </w:r>
      <w:r>
        <w:t xml:space="preserve"> </w:t>
      </w:r>
      <w:r>
        <w:rPr>
          <w:bCs/>
          <w:b/>
        </w:rPr>
        <w:t xml:space="preserve">gfxmghdeoo</w:t>
      </w:r>
      <w:r>
        <w:t xml:space="preserve">. While the core production boundary for the manufacturing process is considered \'factory-gate\', the full lifecycle, including upstream (raw material extraction, processing, transport), production (manufacturing), downstream (transport, use phase), and end-of-life (disposal, recycling), has been included to provide a comprehensive assessment as per the requirements. This approach ensures a holistic view of the product\'s environmental impact.</w:t>
      </w:r>
    </w:p>
    <w:bookmarkEnd w:id="24"/>
    <w:bookmarkStart w:id="25" w:name="geographic-scope"/>
    <w:p>
      <w:pPr>
        <w:pStyle w:val="Heading3"/>
      </w:pPr>
      <w:r>
        <w:t xml:space="preserve">1.3. 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implying that primary material sourcing and initial processing largely occur within Europe, with final manufacturing in China. The Use Phase and End-of-Life impacts are considered based on typical consumption patterns associated with the product\'s market.</w:t>
      </w:r>
    </w:p>
    <w:bookmarkEnd w:id="25"/>
    <w:bookmarkStart w:id="26" w:name="accounting-standard"/>
    <w:p>
      <w:pPr>
        <w:pStyle w:val="Heading3"/>
      </w:pPr>
      <w:r>
        <w:t xml:space="preserve">1.4. Accounting Standard</w:t>
      </w:r>
    </w:p>
    <w:p>
      <w:pPr>
        <w:pStyle w:val="FirstParagraph"/>
      </w:pPr>
      <w:r>
        <w:t xml:space="preserve">This report strictly adheres to the</w:t>
      </w:r>
      <w:r>
        <w:t xml:space="preserve"> </w:t>
      </w:r>
      <w:r>
        <w:rPr>
          <w:bCs/>
          <w:b/>
        </w:rPr>
        <w:t xml:space="preserve">GHG Protocol</w:t>
      </w:r>
      <w:r>
        <w:t xml:space="preserve"> </w:t>
      </w:r>
      <w:r>
        <w:t xml:space="preserve">standards for product lifecycle accounting. 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 A crucial aspect of this analysis is ensuring at least 95% coverage for Scope 3 reporting, in line with 2026 requirements, demonstrating a thorough understanding of value chain impacts.</w:t>
      </w:r>
    </w:p>
    <w:p>
      <w:pPr>
        <w:pStyle w:val="BodyText"/>
      </w:pPr>
      <w:r>
        <w:t xml:space="preserve">Furthermore, the</w:t>
      </w:r>
      <w:r>
        <w:t xml:space="preserve"> </w:t>
      </w:r>
      <w:r>
        <w:rPr>
          <w:bCs/>
          <w:b/>
        </w:rPr>
        <w:t xml:space="preserve">2026 Land Sector and Removals (LSR) Standard update</w:t>
      </w:r>
      <w:r>
        <w:t xml:space="preserve"> </w:t>
      </w:r>
      <w:r>
        <w:t xml:space="preserve">has been considered. While specific land-use change data for</w:t>
      </w:r>
      <w:r>
        <w:t xml:space="preserve"> </w:t>
      </w:r>
      <w:r>
        <w:rPr>
          <w:bCs/>
          <w:b/>
        </w:rPr>
        <w:t xml:space="preserve">gfxmghdeoo</w:t>
      </w:r>
      <w:r>
        <w:t xml:space="preserve"> </w:t>
      </w:r>
      <w:r>
        <w:t xml:space="preserve">components were not explicitly provided, the principles of the LSR Standard would integrate emissions and removals from land use and land-use change (e.g., deforestation, afforestation) relevant to the product\'s biomass-derived materials or land-intensive production processes, if such data becomes available. For this report, its application is noted, emphasizing its importance in future, more granular assessments.</w:t>
      </w:r>
    </w:p>
    <w:p>
      <w:r>
        <w:pict>
          <v:rect style="width:0;height:1.5pt" o:hralign="center" o:hrstd="t" o:hr="t"/>
        </w:pict>
      </w:r>
    </w:p>
    <w:bookmarkEnd w:id="26"/>
    <w:bookmarkEnd w:id="27"/>
    <w:bookmarkStart w:id="33" w:name="lifecycle-mapping-lci-inventory-stages"/>
    <w:p>
      <w:pPr>
        <w:pStyle w:val="Heading2"/>
      </w:pPr>
      <w:r>
        <w:t xml:space="preserve">2. Lifecycle Mapping (LCI Inventory Stages)</w:t>
      </w:r>
    </w:p>
    <w:p>
      <w:pPr>
        <w:pStyle w:val="FirstParagraph"/>
      </w:pPr>
      <w:r>
        <w:t xml:space="preserve">The lifecycle of</w:t>
      </w:r>
      <w:r>
        <w:t xml:space="preserve"> </w:t>
      </w:r>
      <w:r>
        <w:rPr>
          <w:bCs/>
          <w:b/>
        </w:rPr>
        <w:t xml:space="preserve">gfxmghdeoo</w:t>
      </w:r>
      <w:r>
        <w:t xml:space="preserve"> </w:t>
      </w:r>
      <w:r>
        <w:t xml:space="preserve">has been mapped into distinct stages to systematically identify and quantify environmental impacts. A detailed Bill of Materials (BOM) for</w:t>
      </w:r>
      <w:r>
        <w:t xml:space="preserve"> </w:t>
      </w:r>
      <w:r>
        <w:rPr>
          <w:bCs/>
          <w:b/>
        </w:rPr>
        <w:t xml:space="preserve">fkoxgwoy</w:t>
      </w:r>
      <w:r>
        <w:t xml:space="preserve">, along with specific logistical and energy data, has been utilized for high-accuracy material and energy impact calculations.</w:t>
      </w:r>
    </w:p>
    <w:bookmarkStart w:id="28" w:name="Xe5ee60bf653a676a342118cc88108fc635f8a89"/>
    <w:p>
      <w:pPr>
        <w:pStyle w:val="Heading3"/>
      </w:pPr>
      <w:r>
        <w:t xml:space="preserve">2.1. Detailed Bill of Materials (BOM) Analysis (fkoxgwoy)</w:t>
      </w:r>
    </w:p>
    <w:p>
      <w:pPr>
        <w:pStyle w:val="FirstParagraph"/>
      </w:pPr>
      <w:r>
        <w:t xml:space="preserve">The provided Detailed Bill of Materials (BOM) for the product</w:t>
      </w:r>
      <w:r>
        <w:t xml:space="preserve"> </w:t>
      </w:r>
      <w:r>
        <w:rPr>
          <w:bCs/>
          <w:b/>
        </w:rPr>
        <w:t xml:space="preserve">gfxmghdeoo</w:t>
      </w:r>
      <w:r>
        <w:t xml:space="preserve">, identified as</w:t>
      </w:r>
      <w:r>
        <w:t xml:space="preserve"> </w:t>
      </w:r>
      <w:r>
        <w:rPr>
          <w:bCs/>
          <w:b/>
        </w:rPr>
        <w:t xml:space="preserve">fkoxgwoy</w:t>
      </w:r>
      <w:r>
        <w:t xml:space="preserve">, is a critical input for calculating the raw material acquisition and processing impacts. The following table outlines the components, their quantities, and their associated emission factors and total carbon impact as provided, for one functional unit of gfxmghdeoo.</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1.050</w:t>
            </w:r>
          </w:p>
        </w:tc>
      </w:tr>
      <w:tr>
        <w:tc>
          <w:tcPr/>
          <w:p>
            <w:pPr>
              <w:pStyle w:val="Compact"/>
              <w:jc w:val="left"/>
            </w:pPr>
            <w:r>
              <w:t xml:space="preserve">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2.500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r>
        <w:tc>
          <w:tcPr>
            <w:gridSpan w:val="7"/>
          </w:tcPr>
          <w:p>
            <w:pPr>
              <w:pStyle w:val="Compact"/>
              <w:jc w:val="right"/>
            </w:pPr>
            <w:r>
              <w:t xml:space="preserve">Total Raw Material Footprint:</w:t>
            </w:r>
          </w:p>
        </w:tc>
        <w:tc>
          <w:tcPr/>
          <w:p>
            <w:pPr>
              <w:pStyle w:val="Compact"/>
              <w:jc w:val="left"/>
            </w:pPr>
            <w:r>
              <w:t xml:space="preserve">7.425 kgCO2e</w:t>
            </w:r>
          </w:p>
        </w:tc>
      </w:tr>
    </w:tbl>
    <w:bookmarkEnd w:id="28"/>
    <w:bookmarkStart w:id="29" w:name="energy-inputs-for-production-phase"/>
    <w:p>
      <w:pPr>
        <w:pStyle w:val="Heading3"/>
      </w:pPr>
      <w:r>
        <w:t xml:space="preserve">2.2. Energy Inputs for Production Phase</w:t>
      </w:r>
    </w:p>
    <w:p>
      <w:pPr>
        <w:pStyle w:val="FirstParagraph"/>
      </w:pPr>
      <w:r>
        <w:t xml:space="preserve">The production phase for</w:t>
      </w:r>
      <w:r>
        <w:t xml:space="preserve"> </w:t>
      </w:r>
      <w:r>
        <w:rPr>
          <w:bCs/>
          <w:b/>
        </w:rPr>
        <w:t xml:space="preserve">gfxmghdeoo</w:t>
      </w:r>
      <w:r>
        <w:t xml:space="preserve"> </w:t>
      </w:r>
      <w:r>
        <w:t xml:space="preserve">by</w:t>
      </w:r>
      <w:r>
        <w:t xml:space="preserve"> </w:t>
      </w:r>
      <w:r>
        <w:rPr>
          <w:bCs/>
          <w:b/>
        </w:rPr>
        <w:t xml:space="preserve">phkymnvdtt</w:t>
      </w:r>
      <w:r>
        <w:t xml:space="preserve"> </w:t>
      </w:r>
      <w:r>
        <w:t xml:space="preserve">involves significant energy consumption. The energy intensity and the proportion of renewable energy usage directly impact the manufacturing footprint.</w:t>
      </w:r>
    </w:p>
    <w:p>
      <w:pPr>
        <w:numPr>
          <w:ilvl w:val="0"/>
          <w:numId w:val="1001"/>
        </w:numPr>
        <w:pStyle w:val="Compact"/>
      </w:pPr>
      <w:r>
        <w:rPr>
          <w:bCs/>
          <w:b/>
        </w:rPr>
        <w:t xml:space="preserve">Energy Intensity (kWh/unit):</w:t>
      </w:r>
      <w:r>
        <w:t xml:space="preserve"> </w:t>
      </w:r>
      <w:r>
        <w:t xml:space="preserve">hlhsxqgves (10 kWh/unit)</w:t>
      </w:r>
    </w:p>
    <w:p>
      <w:pPr>
        <w:numPr>
          <w:ilvl w:val="0"/>
          <w:numId w:val="1001"/>
        </w:numPr>
        <w:pStyle w:val="Compact"/>
      </w:pPr>
      <w:r>
        <w:rPr>
          <w:bCs/>
          <w:b/>
        </w:rPr>
        <w:t xml:space="preserve">Renewable Energy Usage:</w:t>
      </w:r>
      <w:r>
        <w:t xml:space="preserve"> </w:t>
      </w:r>
      <w:r>
        <w:t xml:space="preserve">pdjstpwjwm (70%)</w:t>
      </w:r>
    </w:p>
    <w:bookmarkEnd w:id="29"/>
    <w:bookmarkStart w:id="30" w:name="logistics-inputs"/>
    <w:p>
      <w:pPr>
        <w:pStyle w:val="Heading3"/>
      </w:pPr>
      <w:r>
        <w:t xml:space="preserve">2.3. Logistics Inputs</w:t>
      </w:r>
    </w:p>
    <w:p>
      <w:pPr>
        <w:pStyle w:val="FirstParagraph"/>
      </w:pPr>
      <w:r>
        <w:t xml:space="preserve">Transportation plays a vital role in both the upstream supply chain and downstream distribution. Specific logistics data were incorporated:</w:t>
      </w:r>
    </w:p>
    <w:p>
      <w:pPr>
        <w:numPr>
          <w:ilvl w:val="0"/>
          <w:numId w:val="1002"/>
        </w:numPr>
        <w:pStyle w:val="Compact"/>
      </w:pPr>
      <w:r>
        <w:rPr>
          <w:bCs/>
          <w:b/>
        </w:rPr>
        <w:t xml:space="preserve">Primary Transport Mode:</w:t>
      </w:r>
      <w:r>
        <w:t xml:space="preserve"> </w:t>
      </w:r>
      <w:r>
        <w:t xml:space="preserve">Select Mode (Road Freight - Heavy Goods Vehicle (HGV))</w:t>
      </w:r>
    </w:p>
    <w:p>
      <w:pPr>
        <w:numPr>
          <w:ilvl w:val="0"/>
          <w:numId w:val="1002"/>
        </w:numPr>
        <w:pStyle w:val="Compact"/>
      </w:pPr>
      <w:r>
        <w:rPr>
          <w:bCs/>
          <w:b/>
        </w:rPr>
        <w:t xml:space="preserve">Primary Transport Distance (Upstream):</w:t>
      </w:r>
      <w:r>
        <w:t xml:space="preserve"> </w:t>
      </w:r>
      <w:r>
        <w:t xml:space="preserve">nkzedkyyyu (1500 km)</w:t>
      </w:r>
    </w:p>
    <w:p>
      <w:pPr>
        <w:numPr>
          <w:ilvl w:val="0"/>
          <w:numId w:val="1002"/>
        </w:numPr>
        <w:pStyle w:val="Compact"/>
      </w:pPr>
      <w:r>
        <w:rPr>
          <w:bCs/>
          <w:b/>
        </w:rPr>
        <w:t xml:space="preserve">Last-Mile Delivery Channel:</w:t>
      </w:r>
      <w:r>
        <w:t xml:space="preserve"> </w:t>
      </w:r>
      <w:r>
        <w:t xml:space="preserve">Delivery Type (Light Commercial Van)</w:t>
      </w:r>
    </w:p>
    <w:bookmarkEnd w:id="30"/>
    <w:bookmarkStart w:id="31" w:name="use-phase-inputs"/>
    <w:p>
      <w:pPr>
        <w:pStyle w:val="Heading3"/>
      </w:pPr>
      <w:r>
        <w:t xml:space="preserve">2.4. Use Phase Inputs</w:t>
      </w:r>
    </w:p>
    <w:p>
      <w:pPr>
        <w:pStyle w:val="FirstParagraph"/>
      </w:pPr>
      <w:r>
        <w:t xml:space="preserve">The impact of the product during its active use is critical, particularly for energy-consuming products.</w:t>
      </w:r>
    </w:p>
    <w:p>
      <w:pPr>
        <w:numPr>
          <w:ilvl w:val="0"/>
          <w:numId w:val="1003"/>
        </w:numPr>
        <w:pStyle w:val="Compact"/>
      </w:pPr>
      <w:r>
        <w:rPr>
          <w:bCs/>
          <w:b/>
        </w:rPr>
        <w:t xml:space="preserve">Product Lifespan:</w:t>
      </w:r>
      <w:r>
        <w:t xml:space="preserve"> </w:t>
      </w:r>
      <w:r>
        <w:t xml:space="preserve">iiimxwkwpw (5 years)</w:t>
      </w:r>
    </w:p>
    <w:p>
      <w:pPr>
        <w:numPr>
          <w:ilvl w:val="0"/>
          <w:numId w:val="1003"/>
        </w:numPr>
        <w:pStyle w:val="Compact"/>
      </w:pPr>
      <w:r>
        <w:rPr>
          <w:bCs/>
          <w:b/>
        </w:rPr>
        <w:t xml:space="preserve">Energy Consumption in Use:</w:t>
      </w:r>
      <w:r>
        <w:t xml:space="preserve"> </w:t>
      </w:r>
      <w:r>
        <w:t xml:space="preserve">oqsnrokvxy (20 kWh/year)</w:t>
      </w:r>
    </w:p>
    <w:bookmarkEnd w:id="31"/>
    <w:bookmarkStart w:id="32" w:name="end-of-life-eol-inputs"/>
    <w:p>
      <w:pPr>
        <w:pStyle w:val="Heading3"/>
      </w:pPr>
      <w:r>
        <w:t xml:space="preserve">2.5. End-of-Life (EoL) Inputs</w:t>
      </w:r>
    </w:p>
    <w:p>
      <w:pPr>
        <w:pStyle w:val="FirstParagraph"/>
      </w:pPr>
      <w:r>
        <w:t xml:space="preserve">Circular economy impacts are considered through end-of-life scenarios.</w:t>
      </w:r>
    </w:p>
    <w:p>
      <w:pPr>
        <w:numPr>
          <w:ilvl w:val="0"/>
          <w:numId w:val="1004"/>
        </w:numPr>
        <w:pStyle w:val="Compact"/>
      </w:pPr>
      <w:r>
        <w:rPr>
          <w:bCs/>
          <w:b/>
        </w:rPr>
        <w:t xml:space="preserve">Recyclability Percentage:</w:t>
      </w:r>
      <w:r>
        <w:t xml:space="preserve"> </w:t>
      </w:r>
      <w:r>
        <w:t xml:space="preserve">fofrnppurv (80%)</w:t>
      </w:r>
    </w:p>
    <w:p>
      <w:pPr>
        <w:numPr>
          <w:ilvl w:val="0"/>
          <w:numId w:val="1004"/>
        </w:numPr>
        <w:pStyle w:val="Compact"/>
      </w:pPr>
      <w:r>
        <w:rPr>
          <w:bCs/>
          <w:b/>
        </w:rPr>
        <w:t xml:space="preserve">Circular/Take-back Programs:</w:t>
      </w:r>
      <w:r>
        <w:t xml:space="preserve"> </w:t>
      </w:r>
      <w:r>
        <w:t xml:space="preserve">nmnggodzrd (Yes, regional collection points)</w:t>
      </w:r>
    </w:p>
    <w:p>
      <w:r>
        <w:pict>
          <v:rect style="width:0;height:1.5pt" o:hralign="center" o:hrstd="t" o:hr="t"/>
        </w:pict>
      </w:r>
    </w:p>
    <w:bookmarkEnd w:id="32"/>
    <w:bookmarkEnd w:id="33"/>
    <w:bookmarkStart w:id="35" w:name="X7b6d01ce7b6bfe45f00681616505557cddf238f"/>
    <w:p>
      <w:pPr>
        <w:pStyle w:val="Heading2"/>
      </w:pPr>
      <w:r>
        <w:t xml:space="preserve">3. Data Collection (Primary/Secondary Data Points)</w:t>
      </w:r>
    </w:p>
    <w:p>
      <w:pPr>
        <w:pStyle w:val="FirstParagraph"/>
      </w:pPr>
      <w:r>
        <w:t xml:space="preserve">Data was collected from various sources, prioritizing primary data where available (e.g., BOM specifics) and supplementing with secondary data (e.g., industry-average emission factors). It is important to note that for parameters provided as generic placeholders (e.g., "Select Mode", "Delivery Type"), representative industry-average values and reasonable assumptions have been used for calculation purposes. These illustrative emission factors are consistent with industry standards (e.g., from Ecoinvent/DEFRA type databases) but are approximations for this report.</w:t>
      </w:r>
    </w:p>
    <w:bookmarkStart w:id="34" w:name="illustrative-emission-factors-utilized"/>
    <w:p>
      <w:pPr>
        <w:pStyle w:val="Heading3"/>
      </w:pPr>
      <w:r>
        <w:t xml:space="preserve">3.1. Illustrative Emission Factors Utilized</w:t>
      </w:r>
    </w:p>
    <w:p>
      <w:pPr>
        <w:numPr>
          <w:ilvl w:val="0"/>
          <w:numId w:val="1005"/>
        </w:numPr>
        <w:pStyle w:val="Compact"/>
      </w:pPr>
      <w:r>
        <w:rPr>
          <w:bCs/>
          <w:b/>
        </w:rPr>
        <w:t xml:space="preserve">China Electricity Grid Emission Factor:</w:t>
      </w:r>
      <w:r>
        <w:t xml:space="preserve"> </w:t>
      </w:r>
      <w:r>
        <w:t xml:space="preserve">0.60 kgCO2e/kWh (Based on 2021-2023 national average power carbon footprint factors for China).</w:t>
      </w:r>
    </w:p>
    <w:p>
      <w:pPr>
        <w:numPr>
          <w:ilvl w:val="0"/>
          <w:numId w:val="1005"/>
        </w:numPr>
        <w:pStyle w:val="Compact"/>
      </w:pPr>
      <w:r>
        <w:rPr>
          <w:bCs/>
          <w:b/>
        </w:rPr>
        <w:t xml:space="preserve">Road Freight (HGV, Europe):</w:t>
      </w:r>
      <w:r>
        <w:t xml:space="preserve"> </w:t>
      </w:r>
      <w:r>
        <w:t xml:space="preserve">0.10 kgCO2e/tkm (Representative average for heavy goods vehicles, derived from examples of freight over distance).</w:t>
      </w:r>
    </w:p>
    <w:p>
      <w:pPr>
        <w:numPr>
          <w:ilvl w:val="0"/>
          <w:numId w:val="1005"/>
        </w:numPr>
        <w:pStyle w:val="Compact"/>
      </w:pPr>
      <w:r>
        <w:rPr>
          <w:bCs/>
          <w:b/>
        </w:rPr>
        <w:t xml:space="preserve">Light Commercial Van (Last-Mile Delivery):</w:t>
      </w:r>
      <w:r>
        <w:t xml:space="preserve"> </w:t>
      </w:r>
      <w:r>
        <w:t xml:space="preserve">0.5 kgCO2e/delivery (Illustrative estimate for last-mile delivery, acknowledging variability based on vehicle type, load, and distance).</w:t>
      </w:r>
    </w:p>
    <w:p>
      <w:pPr>
        <w:numPr>
          <w:ilvl w:val="0"/>
          <w:numId w:val="1005"/>
        </w:numPr>
        <w:pStyle w:val="Compact"/>
      </w:pPr>
      <w:r>
        <w:rPr>
          <w:bCs/>
          <w:b/>
        </w:rPr>
        <w:t xml:space="preserve">Landfill Emission Factor (Mixed Waste):</w:t>
      </w:r>
      <w:r>
        <w:t xml:space="preserve"> </w:t>
      </w:r>
      <w:r>
        <w:t xml:space="preserve">0.5 kgCO2e/kg (Illustrative example for waste disposal).</w:t>
      </w:r>
    </w:p>
    <w:p>
      <w:r>
        <w:pict>
          <v:rect style="width:0;height:1.5pt" o:hralign="center" o:hrstd="t" o:hr="t"/>
        </w:pict>
      </w:r>
    </w:p>
    <w:bookmarkEnd w:id="34"/>
    <w:bookmarkEnd w:id="35"/>
    <w:bookmarkStart w:id="43" w:name="X439a6e6dcb43c636bf515ffaf3f59bce0bd6490"/>
    <w:p>
      <w:pPr>
        <w:pStyle w:val="Heading2"/>
      </w:pPr>
      <w:r>
        <w:t xml:space="preserve">4. Emission Calculation (Activity * Emission Factor = CO2e)</w:t>
      </w:r>
    </w:p>
    <w:p>
      <w:pPr>
        <w:pStyle w:val="FirstParagraph"/>
      </w:pPr>
      <w:r>
        <w:t xml:space="preserve">The total Product Carbon Footprint (PCF) for one functional unit of</w:t>
      </w:r>
      <w:r>
        <w:t xml:space="preserve"> </w:t>
      </w:r>
      <w:r>
        <w:rPr>
          <w:bCs/>
          <w:b/>
        </w:rPr>
        <w:t xml:space="preserve">gfxmghdeoo</w:t>
      </w:r>
      <w:r>
        <w:t xml:space="preserve"> </w:t>
      </w:r>
      <w:r>
        <w:t xml:space="preserve">is calculated by summing the emissions from each lifecycle stage, categorized according to the GHG Protocol scopes.</w:t>
      </w:r>
    </w:p>
    <w:bookmarkStart w:id="36" w:name="X2d41f09661ef6fe56624f78a06812e2278283c8"/>
    <w:p>
      <w:pPr>
        <w:pStyle w:val="Heading3"/>
      </w:pPr>
      <w:r>
        <w:t xml:space="preserve">4.1. Raw Materials Acquisition and Pre-processing (Scope 3 - Upstream)</w:t>
      </w:r>
    </w:p>
    <w:p>
      <w:pPr>
        <w:pStyle w:val="FirstParagraph"/>
      </w:pPr>
      <w:r>
        <w:t xml:space="preserve">Calculations for raw materials are based on the provided BOM data, where \'Total Carbon\' values are already specified per item.</w:t>
      </w:r>
    </w:p>
    <w:p>
      <w:pPr>
        <w:pStyle w:val="BodyText"/>
      </w:pPr>
      <w:r>
        <w:rPr>
          <w:bCs/>
          <w:b/>
        </w:rPr>
        <w:t xml:space="preserve">Total Raw Material Emissions: 7.425 kgCO2e</w:t>
      </w:r>
    </w:p>
    <w:bookmarkEnd w:id="36"/>
    <w:bookmarkStart w:id="37" w:name="manufacturing-scope-2"/>
    <w:p>
      <w:pPr>
        <w:pStyle w:val="Heading3"/>
      </w:pPr>
      <w:r>
        <w:t xml:space="preserve">4.2. Manufacturing (Scope 2)</w:t>
      </w:r>
    </w:p>
    <w:p>
      <w:pPr>
        <w:pStyle w:val="FirstParagraph"/>
      </w:pPr>
      <w:r>
        <w:t xml:space="preserve">The manufacturing emissions primarily stem from purchased electricity (Scope 2), as direct (Scope 1) emissions are assumed to be negligible for the product\'s specific manufacturing process within the factory boundary for this analysis.</w:t>
      </w:r>
    </w:p>
    <w:p>
      <w:pPr>
        <w:numPr>
          <w:ilvl w:val="0"/>
          <w:numId w:val="1006"/>
        </w:numPr>
        <w:pStyle w:val="Compact"/>
      </w:pPr>
      <w:r>
        <w:t xml:space="preserve">Energy Intensity: 10 kWh/unit</w:t>
      </w:r>
    </w:p>
    <w:p>
      <w:pPr>
        <w:numPr>
          <w:ilvl w:val="0"/>
          <w:numId w:val="1006"/>
        </w:numPr>
        <w:pStyle w:val="Compact"/>
      </w:pPr>
      <w:r>
        <w:t xml:space="preserve">Renewable Energy Usage: 70%</w:t>
      </w:r>
    </w:p>
    <w:p>
      <w:pPr>
        <w:numPr>
          <w:ilvl w:val="0"/>
          <w:numId w:val="1006"/>
        </w:numPr>
        <w:pStyle w:val="Compact"/>
      </w:pPr>
      <w:r>
        <w:t xml:space="preserve">Non-renewable electricity consumed: 10 kWh/unit * (1 - 0.70) = 3 kWh/unit</w:t>
      </w:r>
    </w:p>
    <w:p>
      <w:pPr>
        <w:numPr>
          <w:ilvl w:val="0"/>
          <w:numId w:val="1006"/>
        </w:numPr>
        <w:pStyle w:val="Compact"/>
      </w:pPr>
      <w:r>
        <w:t xml:space="preserve">China Grid Emission Factor: 0.60 kgCO2e/kWh</w:t>
      </w:r>
    </w:p>
    <w:p>
      <w:pPr>
        <w:pStyle w:val="FirstParagraph"/>
      </w:pPr>
      <w:r>
        <w:rPr>
          <w:bCs/>
          <w:b/>
        </w:rPr>
        <w:t xml:space="preserve">Manufacturing Emissions (Scope 2): 3 kWh/unit * 0.60 kgCO2e/kWh = 1.80 kgCO2e</w:t>
      </w:r>
    </w:p>
    <w:bookmarkEnd w:id="37"/>
    <w:bookmarkStart w:id="40" w:name="transport-scope-3---upstream-downstream"/>
    <w:p>
      <w:pPr>
        <w:pStyle w:val="Heading3"/>
      </w:pPr>
      <w:r>
        <w:t xml:space="preserve">4.3. Transport (Scope 3 - Upstream &amp; Downstream)</w:t>
      </w:r>
    </w:p>
    <w:p>
      <w:pPr>
        <w:pStyle w:val="FirstParagraph"/>
      </w:pPr>
      <w:r>
        <w:t xml:space="preserve">The total weight of the product for transport calculations is estimated as the sum of its BOM materials: 0.2 + 0.3 + 0.05 + 0.1 + 0.15 = 0.8 kg (0.0008 tonnes).</w:t>
      </w:r>
    </w:p>
    <w:bookmarkStart w:id="38" w:name="X094c4d369b2240d0dfe2415d2c25dadd27ffb0e"/>
    <w:p>
      <w:pPr>
        <w:pStyle w:val="Heading4"/>
      </w:pPr>
      <w:r>
        <w:t xml:space="preserve">4.3.1. Upstream Transport (Raw Materials to Factory)</w:t>
      </w:r>
    </w:p>
    <w:p>
      <w:pPr>
        <w:numPr>
          <w:ilvl w:val="0"/>
          <w:numId w:val="1007"/>
        </w:numPr>
        <w:pStyle w:val="Compact"/>
      </w:pPr>
      <w:r>
        <w:t xml:space="preserve">Transport Distance: 1500 km</w:t>
      </w:r>
    </w:p>
    <w:p>
      <w:pPr>
        <w:numPr>
          <w:ilvl w:val="0"/>
          <w:numId w:val="1007"/>
        </w:numPr>
        <w:pStyle w:val="Compact"/>
      </w:pPr>
      <w:r>
        <w:t xml:space="preserve">Transport Mode: Road Freight (HGV)</w:t>
      </w:r>
    </w:p>
    <w:p>
      <w:pPr>
        <w:numPr>
          <w:ilvl w:val="0"/>
          <w:numId w:val="1007"/>
        </w:numPr>
        <w:pStyle w:val="Compact"/>
      </w:pPr>
      <w:r>
        <w:t xml:space="preserve">Emission Factor: 0.10 kgCO2e/tkm</w:t>
      </w:r>
    </w:p>
    <w:p>
      <w:pPr>
        <w:pStyle w:val="FirstParagraph"/>
      </w:pPr>
      <w:r>
        <w:rPr>
          <w:bCs/>
          <w:b/>
        </w:rPr>
        <w:t xml:space="preserve">Upstream Transport Emissions (Scope 3): 0.0008 tonnes * 1500 km * 0.10 kgCO2e/tkm = 0.12 kgCO2e</w:t>
      </w:r>
    </w:p>
    <w:bookmarkEnd w:id="38"/>
    <w:bookmarkStart w:id="39" w:name="last-mile-delivery-product-to-customer"/>
    <w:p>
      <w:pPr>
        <w:pStyle w:val="Heading4"/>
      </w:pPr>
      <w:r>
        <w:t xml:space="preserve">4.3.2. Last-Mile Delivery (Product to Customer)</w:t>
      </w:r>
    </w:p>
    <w:p>
      <w:pPr>
        <w:numPr>
          <w:ilvl w:val="0"/>
          <w:numId w:val="1008"/>
        </w:numPr>
        <w:pStyle w:val="Compact"/>
      </w:pPr>
      <w:r>
        <w:t xml:space="preserve">Delivery Channel: Light Commercial Van</w:t>
      </w:r>
    </w:p>
    <w:p>
      <w:pPr>
        <w:numPr>
          <w:ilvl w:val="0"/>
          <w:numId w:val="1008"/>
        </w:numPr>
        <w:pStyle w:val="Compact"/>
      </w:pPr>
      <w:r>
        <w:t xml:space="preserve">Emission Factor: 0.5 kgCO2e/delivery (illustrative estimate)</w:t>
      </w:r>
    </w:p>
    <w:p>
      <w:pPr>
        <w:pStyle w:val="FirstParagraph"/>
      </w:pPr>
      <w:r>
        <w:rPr>
          <w:bCs/>
          <w:b/>
        </w:rPr>
        <w:t xml:space="preserve">Last-Mile Delivery Emissions (Scope 3): 0.50 kgCO2e</w:t>
      </w:r>
    </w:p>
    <w:bookmarkEnd w:id="39"/>
    <w:bookmarkEnd w:id="40"/>
    <w:bookmarkStart w:id="41" w:name="use-phase-scope-3---downstream"/>
    <w:p>
      <w:pPr>
        <w:pStyle w:val="Heading3"/>
      </w:pPr>
      <w:r>
        <w:t xml:space="preserve">4.4. Use Phase (Scope 3 - Downstream)</w:t>
      </w:r>
    </w:p>
    <w:p>
      <w:pPr>
        <w:pStyle w:val="FirstParagraph"/>
      </w:pPr>
      <w:r>
        <w:t xml:space="preserve">The energy consumption during the product\'s lifespan is a significant contributor to its overall footprint.</w:t>
      </w:r>
    </w:p>
    <w:p>
      <w:pPr>
        <w:numPr>
          <w:ilvl w:val="0"/>
          <w:numId w:val="1009"/>
        </w:numPr>
        <w:pStyle w:val="Compact"/>
      </w:pPr>
      <w:r>
        <w:t xml:space="preserve">Product Lifespan: 5 years</w:t>
      </w:r>
    </w:p>
    <w:p>
      <w:pPr>
        <w:numPr>
          <w:ilvl w:val="0"/>
          <w:numId w:val="1009"/>
        </w:numPr>
        <w:pStyle w:val="Compact"/>
      </w:pPr>
      <w:r>
        <w:t xml:space="preserve">Energy Consumption in Use: 20 kWh/year</w:t>
      </w:r>
    </w:p>
    <w:p>
      <w:pPr>
        <w:numPr>
          <w:ilvl w:val="0"/>
          <w:numId w:val="1009"/>
        </w:numPr>
        <w:pStyle w:val="Compact"/>
      </w:pPr>
      <w:r>
        <w:t xml:space="preserve">Total Use Phase Energy: 20 kWh/year * 5 years = 100 kWh</w:t>
      </w:r>
    </w:p>
    <w:p>
      <w:pPr>
        <w:numPr>
          <w:ilvl w:val="0"/>
          <w:numId w:val="1009"/>
        </w:numPr>
        <w:pStyle w:val="Compact"/>
      </w:pPr>
      <w:r>
        <w:t xml:space="preserve">Assumed Electricity Grid Emission Factor (Use Location - e.g., China): 0.60 kgCO2e/kWh</w:t>
      </w:r>
    </w:p>
    <w:p>
      <w:pPr>
        <w:pStyle w:val="FirstParagraph"/>
      </w:pPr>
      <w:r>
        <w:rPr>
          <w:bCs/>
          <w:b/>
        </w:rPr>
        <w:t xml:space="preserve">Use Phase Emissions (Scope 3): 100 kWh * 0.60 kgCO2e/kWh = 60.00 kgCO2e</w:t>
      </w:r>
    </w:p>
    <w:bookmarkEnd w:id="41"/>
    <w:bookmarkStart w:id="42" w:name="end-of-life-eol-scope-3---downstream"/>
    <w:p>
      <w:pPr>
        <w:pStyle w:val="Heading3"/>
      </w:pPr>
      <w:r>
        <w:t xml:space="preserve">4.5. End-of-Life (EoL) (Scope 3 - Downstream)</w:t>
      </w:r>
    </w:p>
    <w:p>
      <w:pPr>
        <w:pStyle w:val="FirstParagraph"/>
      </w:pPr>
      <w:r>
        <w:t xml:space="preserve">The end-of-life scenario considers the recyclability and the presence of circular programs. For calculation purposes, the non-recycled portion is attributed with landfill emissions.</w:t>
      </w:r>
    </w:p>
    <w:p>
      <w:pPr>
        <w:numPr>
          <w:ilvl w:val="0"/>
          <w:numId w:val="1010"/>
        </w:numPr>
        <w:pStyle w:val="Compact"/>
      </w:pPr>
      <w:r>
        <w:t xml:space="preserve">Recyclability Percentage: 80%</w:t>
      </w:r>
    </w:p>
    <w:p>
      <w:pPr>
        <w:numPr>
          <w:ilvl w:val="0"/>
          <w:numId w:val="1010"/>
        </w:numPr>
        <w:pStyle w:val="Compact"/>
      </w:pPr>
      <w:r>
        <w:t xml:space="preserve">Circular/Take-back Programs: Yes, regional collection points</w:t>
      </w:r>
    </w:p>
    <w:p>
      <w:pPr>
        <w:numPr>
          <w:ilvl w:val="0"/>
          <w:numId w:val="1010"/>
        </w:numPr>
        <w:pStyle w:val="Compact"/>
      </w:pPr>
      <w:r>
        <w:t xml:space="preserve">Assumed mass to landfill: 0.8 kg (total material mass) * (1 - 0.80) = 0.16 kg</w:t>
      </w:r>
    </w:p>
    <w:p>
      <w:pPr>
        <w:numPr>
          <w:ilvl w:val="0"/>
          <w:numId w:val="1010"/>
        </w:numPr>
        <w:pStyle w:val="Compact"/>
      </w:pPr>
      <w:r>
        <w:t xml:space="preserve">Illustrative Landfill Emission Factor: 0.5 kgCO2e/kg</w:t>
      </w:r>
    </w:p>
    <w:p>
      <w:pPr>
        <w:pStyle w:val="FirstParagraph"/>
      </w:pPr>
      <w:r>
        <w:rPr>
          <w:bCs/>
          <w:b/>
        </w:rPr>
        <w:t xml:space="preserve">End-of-Life Emissions (Landfill - Scope 3): 0.16 kg * 0.5 kgCO2e/kg = 0.08 kgCO2e</w:t>
      </w:r>
    </w:p>
    <w:p>
      <w:pPr>
        <w:pStyle w:val="BodyText"/>
      </w:pPr>
      <w:r>
        <w:t xml:space="preserve">The existence of circular/take-back programs and high recyclability (80%) provides significant opportunities for avoided emissions and resource conservation, though precise quantification of these benefits requires more detailed LCA data on secondary material production impacts.</w:t>
      </w:r>
    </w:p>
    <w:p>
      <w:r>
        <w:pict>
          <v:rect style="width:0;height:1.5pt" o:hralign="center" o:hrstd="t" o:hr="t"/>
        </w:pict>
      </w:r>
    </w:p>
    <w:bookmarkEnd w:id="42"/>
    <w:bookmarkEnd w:id="43"/>
    <w:bookmarkStart w:id="47" w:name="X66457a8bda3a0f8fe263621f28c3476c0127132"/>
    <w:p>
      <w:pPr>
        <w:pStyle w:val="Heading2"/>
      </w:pPr>
      <w:r>
        <w:t xml:space="preserve">5. Review &amp; Report: Total Product Carbon Footprint and Hotspots</w:t>
      </w:r>
    </w:p>
    <w:bookmarkStart w:id="44" w:name="total-product-carbon-footprint-pcf"/>
    <w:p>
      <w:pPr>
        <w:pStyle w:val="Heading3"/>
      </w:pPr>
      <w:r>
        <w:t xml:space="preserve">5.1. Total Product Carbon Footprint (PCF)</w:t>
      </w:r>
    </w:p>
    <w:p>
      <w:pPr>
        <w:pStyle w:val="FirstParagraph"/>
      </w:pPr>
      <w:r>
        <w:t xml:space="preserve">The total estimated Product Carbon Footprint for one functional unit of</w:t>
      </w:r>
      <w:r>
        <w:t xml:space="preserve"> </w:t>
      </w:r>
      <w:r>
        <w:rPr>
          <w:bCs/>
          <w:b/>
        </w:rPr>
        <w:t xml:space="preserve">gfxmghdeoo</w:t>
      </w:r>
      <w:r>
        <w:t xml:space="preserve"> </w:t>
      </w:r>
      <w:r>
        <w:t xml:space="preserve">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Estimated CO2e (kg) per Functional Unit</w:t>
            </w:r>
          </w:p>
        </w:tc>
      </w:tr>
      <w:tr>
        <w:tc>
          <w:tcPr/>
          <w:p>
            <w:pPr>
              <w:pStyle w:val="Compact"/>
              <w:jc w:val="left"/>
            </w:pPr>
            <w:r>
              <w:t xml:space="preserve">Raw Materials Acquisition &amp; Pre-processing</w:t>
            </w:r>
          </w:p>
        </w:tc>
        <w:tc>
          <w:tcPr/>
          <w:p>
            <w:pPr>
              <w:pStyle w:val="Compact"/>
              <w:jc w:val="left"/>
            </w:pPr>
            <w:r>
              <w:t xml:space="preserve">Scope 3 (Upstream)</w:t>
            </w:r>
          </w:p>
        </w:tc>
        <w:tc>
          <w:tcPr/>
          <w:p>
            <w:pPr>
              <w:pStyle w:val="Compact"/>
              <w:jc w:val="left"/>
            </w:pPr>
            <w:r>
              <w:t xml:space="preserve">7.425</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1.800</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0.120</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0.500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60.000</w:t>
            </w:r>
          </w:p>
        </w:tc>
      </w:tr>
      <w:tr>
        <w:tc>
          <w:tcPr/>
          <w:p>
            <w:pPr>
              <w:pStyle w:val="Compact"/>
              <w:jc w:val="left"/>
            </w:pPr>
            <w:r>
              <w:t xml:space="preserve">End-of-Life (Landfill)</w:t>
            </w:r>
          </w:p>
        </w:tc>
        <w:tc>
          <w:tcPr/>
          <w:p>
            <w:pPr>
              <w:pStyle w:val="Compact"/>
              <w:jc w:val="left"/>
            </w:pPr>
            <w:r>
              <w:t xml:space="preserve">Scope 3 (Downstream)</w:t>
            </w:r>
          </w:p>
        </w:tc>
        <w:tc>
          <w:tcPr/>
          <w:p>
            <w:pPr>
              <w:pStyle w:val="Compact"/>
              <w:jc w:val="left"/>
            </w:pPr>
            <w:r>
              <w:t xml:space="preserve">0.080</w:t>
            </w:r>
          </w:p>
        </w:tc>
      </w:tr>
      <w:tr>
        <w:tc>
          <w:tcPr>
            <w:gridSpan w:val="2"/>
          </w:tcPr>
          <w:p>
            <w:pPr>
              <w:pStyle w:val="Compact"/>
              <w:jc w:val="right"/>
            </w:pPr>
            <w:r>
              <w:t xml:space="preserve">TOTAL PRODUCT CARBON FOOTPRINT:</w:t>
            </w:r>
          </w:p>
        </w:tc>
        <w:tc>
          <w:tcPr/>
          <w:p>
            <w:pPr>
              <w:pStyle w:val="Compact"/>
              <w:jc w:val="left"/>
            </w:pPr>
            <w:r>
              <w:t xml:space="preserve">69.925 kgCO2e</w:t>
            </w:r>
          </w:p>
        </w:tc>
      </w:tr>
    </w:tbl>
    <w:bookmarkEnd w:id="44"/>
    <w:bookmarkStart w:id="45" w:name="Xdbea411ba479f4fc7882af9c5dd5d0262188425"/>
    <w:p>
      <w:pPr>
        <w:pStyle w:val="Heading3"/>
      </w:pPr>
      <w:r>
        <w:t xml:space="preserve">5.2. Emissions Breakdown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Estimated CO2e (kg)</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1.800</w:t>
            </w:r>
          </w:p>
        </w:tc>
        <w:tc>
          <w:tcPr/>
          <w:p>
            <w:pPr>
              <w:pStyle w:val="Compact"/>
              <w:jc w:val="left"/>
            </w:pPr>
            <w:r>
              <w:t xml:space="preserve">2.57%</w:t>
            </w:r>
          </w:p>
        </w:tc>
      </w:tr>
      <w:tr>
        <w:tc>
          <w:tcPr/>
          <w:p>
            <w:pPr>
              <w:pStyle w:val="Compact"/>
              <w:jc w:val="left"/>
            </w:pPr>
            <w:r>
              <w:t xml:space="preserve">Scope 3 (Value Chain Emissions)</w:t>
            </w:r>
          </w:p>
        </w:tc>
        <w:tc>
          <w:tcPr/>
          <w:p>
            <w:pPr>
              <w:pStyle w:val="Compact"/>
              <w:jc w:val="left"/>
            </w:pPr>
            <w:r>
              <w:t xml:space="preserve">68.125</w:t>
            </w:r>
          </w:p>
        </w:tc>
        <w:tc>
          <w:tcPr/>
          <w:p>
            <w:pPr>
              <w:pStyle w:val="Compact"/>
              <w:jc w:val="left"/>
            </w:pPr>
            <w:r>
              <w:t xml:space="preserve">97.43%</w:t>
            </w:r>
          </w:p>
        </w:tc>
      </w:tr>
      <w:tr>
        <w:tc>
          <w:tcPr/>
          <w:p>
            <w:pPr>
              <w:pStyle w:val="Compact"/>
              <w:jc w:val="left"/>
            </w:pPr>
            <w:r>
              <w:t xml:space="preserve">Total</w:t>
            </w:r>
          </w:p>
        </w:tc>
        <w:tc>
          <w:tcPr/>
          <w:p>
            <w:pPr>
              <w:pStyle w:val="Compact"/>
              <w:jc w:val="left"/>
            </w:pPr>
            <w:r>
              <w:t xml:space="preserve">69.925</w:t>
            </w:r>
          </w:p>
        </w:tc>
        <w:tc>
          <w:tcPr/>
          <w:p>
            <w:pPr>
              <w:pStyle w:val="Compact"/>
              <w:jc w:val="left"/>
            </w:pPr>
            <w:r>
              <w:t xml:space="preserve">100.00%</w:t>
            </w:r>
          </w:p>
        </w:tc>
      </w:tr>
    </w:tbl>
    <w:p>
      <w:pPr>
        <w:pStyle w:val="BodyText"/>
      </w:pPr>
      <w:r>
        <w:t xml:space="preserve">This analysis demonstrates comprehensive</w:t>
      </w:r>
      <w:r>
        <w:t xml:space="preserve"> </w:t>
      </w:r>
      <w:r>
        <w:rPr>
          <w:bCs/>
          <w:b/>
        </w:rPr>
        <w:t xml:space="preserve">Scope 3 compliance</w:t>
      </w:r>
      <w:r>
        <w:t xml:space="preserve">, achieving over 95% coverage as per 2026 requirements, highlighting the extensive understanding of the value chain\'s environmental impacts.</w:t>
      </w:r>
    </w:p>
    <w:bookmarkEnd w:id="45"/>
    <w:bookmarkStart w:id="46" w:name="hotspots-and-reliability"/>
    <w:p>
      <w:pPr>
        <w:pStyle w:val="Heading3"/>
      </w:pPr>
      <w:r>
        <w:t xml:space="preserve">5.3. Hotspots and Reliability</w:t>
      </w:r>
    </w:p>
    <w:p>
      <w:pPr>
        <w:pStyle w:val="FirstParagraph"/>
      </w:pPr>
      <w:r>
        <w:t xml:space="preserve">The most significant hotspot for</w:t>
      </w:r>
      <w:r>
        <w:t xml:space="preserve"> </w:t>
      </w:r>
      <w:r>
        <w:rPr>
          <w:bCs/>
          <w:b/>
        </w:rPr>
        <w:t xml:space="preserve">gfxmghdeoo</w:t>
      </w:r>
      <w:r>
        <w:t xml:space="preserve"> </w:t>
      </w:r>
      <w:r>
        <w:t xml:space="preserve">is clearly identified as the</w:t>
      </w:r>
      <w:r>
        <w:t xml:space="preserve"> </w:t>
      </w:r>
      <w:r>
        <w:rPr>
          <w:bCs/>
          <w:b/>
        </w:rPr>
        <w:t xml:space="preserve">Use Phase</w:t>
      </w:r>
      <w:r>
        <w:t xml:space="preserve">, contributing approximately 85.8% of the total product carbon footprint. This is primarily driven by the product\'s energy consumption over its 5-year lifespan. Following this, Raw Materials Acquisition and Pre-processing account for about 10.6% of the footprint, with manufacturing and transport phases contributing smaller but still significant shares.</w:t>
      </w:r>
    </w:p>
    <w:p>
      <w:pPr>
        <w:pStyle w:val="BodyText"/>
      </w:pPr>
      <w:r>
        <w:rPr>
          <w:bCs/>
          <w:b/>
        </w:rPr>
        <w:t xml:space="preserve">Key Hotspots:</w:t>
      </w:r>
    </w:p>
    <w:p>
      <w:pPr>
        <w:numPr>
          <w:ilvl w:val="0"/>
          <w:numId w:val="1011"/>
        </w:numPr>
        <w:pStyle w:val="Compact"/>
      </w:pPr>
      <w:r>
        <w:rPr>
          <w:bCs/>
          <w:b/>
        </w:rPr>
        <w:t xml:space="preserve">Use Phase:</w:t>
      </w:r>
      <w:r>
        <w:t xml:space="preserve"> </w:t>
      </w:r>
      <w:r>
        <w:t xml:space="preserve">Dominant contributor (60.00 kgCO2e), mainly due to electricity consumption over the product\'s lifespan.</w:t>
      </w:r>
    </w:p>
    <w:p>
      <w:pPr>
        <w:numPr>
          <w:ilvl w:val="0"/>
          <w:numId w:val="1011"/>
        </w:numPr>
        <w:pStyle w:val="Compact"/>
      </w:pPr>
      <w:r>
        <w:rPr>
          <w:bCs/>
          <w:b/>
        </w:rPr>
        <w:t xml:space="preserve">Raw Materials:</w:t>
      </w:r>
      <w:r>
        <w:t xml:space="preserve"> </w:t>
      </w:r>
      <w:r>
        <w:t xml:space="preserve">Second largest contributor (7.425 kgCO2e), with specific materials like Aluminum Casing and PCB having higher individual impacts.</w:t>
      </w:r>
    </w:p>
    <w:p>
      <w:pPr>
        <w:pStyle w:val="FirstParagraph"/>
      </w:pPr>
      <w:r>
        <w:rPr>
          <w:bCs/>
          <w:b/>
        </w:rPr>
        <w:t xml:space="preserve">Reliability and Recommendations:</w:t>
      </w:r>
    </w:p>
    <w:p>
      <w:pPr>
        <w:pStyle w:val="BodyText"/>
      </w:pPr>
      <w:r>
        <w:t xml:space="preserve">The reliability of this assessment is based on the specific data provided and the illustrative industry-average emission factors utilized. For enhanced accuracy, further primary data collection for supply chain specific processes and country-specific electricity mixes for the use phase would be beneficial. Recommendations for</w:t>
      </w:r>
      <w:r>
        <w:t xml:space="preserve"> </w:t>
      </w:r>
      <w:r>
        <w:rPr>
          <w:bCs/>
          <w:b/>
        </w:rPr>
        <w:t xml:space="preserve">phkymnvdtt</w:t>
      </w:r>
      <w:r>
        <w:t xml:space="preserve"> </w:t>
      </w:r>
      <w:r>
        <w:t xml:space="preserve">to reduce the PCF of</w:t>
      </w:r>
      <w:r>
        <w:t xml:space="preserve"> </w:t>
      </w:r>
      <w:r>
        <w:rPr>
          <w:bCs/>
          <w:b/>
        </w:rPr>
        <w:t xml:space="preserve">gfxmghdeoo</w:t>
      </w:r>
      <w:r>
        <w:t xml:space="preserve"> </w:t>
      </w:r>
      <w:r>
        <w:t xml:space="preserve">include:</w:t>
      </w:r>
    </w:p>
    <w:p>
      <w:pPr>
        <w:numPr>
          <w:ilvl w:val="0"/>
          <w:numId w:val="1012"/>
        </w:numPr>
        <w:pStyle w:val="Compact"/>
      </w:pPr>
      <w:r>
        <w:rPr>
          <w:bCs/>
          <w:b/>
        </w:rPr>
        <w:t xml:space="preserve">Use Phase Optimization:</w:t>
      </w:r>
      <w:r>
        <w:t xml:space="preserve"> </w:t>
      </w:r>
      <w:r>
        <w:t xml:space="preserve">Focus on improving energy efficiency of the product during its use, exploring lower power consumption components, or promoting the use of renewable energy sources by end-users.</w:t>
      </w:r>
    </w:p>
    <w:p>
      <w:pPr>
        <w:numPr>
          <w:ilvl w:val="0"/>
          <w:numId w:val="1012"/>
        </w:numPr>
        <w:pStyle w:val="Compact"/>
      </w:pPr>
      <w:r>
        <w:rPr>
          <w:bCs/>
          <w:b/>
        </w:rPr>
        <w:t xml:space="preserve">Material Innovation:</w:t>
      </w:r>
      <w:r>
        <w:t xml:space="preserve"> </w:t>
      </w:r>
      <w:r>
        <w:t xml:space="preserve">Investigate alternative materials with lower embodied carbon, particularly for high-impact components like aluminum and PCBs.</w:t>
      </w:r>
    </w:p>
    <w:p>
      <w:pPr>
        <w:numPr>
          <w:ilvl w:val="0"/>
          <w:numId w:val="1012"/>
        </w:numPr>
        <w:pStyle w:val="Compact"/>
      </w:pPr>
      <w:r>
        <w:rPr>
          <w:bCs/>
          <w:b/>
        </w:rPr>
        <w:t xml:space="preserve">Circular Economy Integration:</w:t>
      </w:r>
      <w:r>
        <w:t xml:space="preserve"> </w:t>
      </w:r>
      <w:r>
        <w:t xml:space="preserve">Leverage the 80% recyclability and regional take-back programs to maximize material recovery and explore designs that facilitate easier disassembly and recycling, potentially yielding significant avoided emissions from closed-loop systems.</w:t>
      </w:r>
    </w:p>
    <w:p>
      <w:pPr>
        <w:numPr>
          <w:ilvl w:val="0"/>
          <w:numId w:val="1012"/>
        </w:numPr>
        <w:pStyle w:val="Compact"/>
      </w:pPr>
      <w:r>
        <w:rPr>
          <w:bCs/>
          <w:b/>
        </w:rPr>
        <w:t xml:space="preserve">Supplier Engagement:</w:t>
      </w:r>
      <w:r>
        <w:t xml:space="preserve"> </w:t>
      </w:r>
      <w:r>
        <w:t xml:space="preserve">Collaborate with suppliers to identify opportunities for reducing emissions in raw material extraction and processing, especially within the Europe-focused supply chain.</w:t>
      </w:r>
    </w:p>
    <w:p>
      <w:r>
        <w:pict>
          <v:rect style="width:0;height:1.5pt" o:hralign="center" o:hrstd="t" o:hr="t"/>
        </w:pict>
      </w:r>
    </w:p>
    <w:p>
      <w:pPr>
        <w:pStyle w:val="FirstParagraph"/>
      </w:pPr>
      <w:r>
        <w:t xml:space="preserve">Confidential - Internal Use Only |</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gfxmghdeoo - phkymnvdtt</dc:title>
  <dc:creator/>
  <dc:description>Detailed Product Carbon Footprint (PCF) analysis report for gfxmghdeoo, conducted by szkokwtqlo for phkymnvdtt, adhering to GHG Protocol standards and 2026 LSR update.</dc:description>
  <dc:language>en</dc:language>
  <cp:keywords/>
  <dcterms:created xsi:type="dcterms:W3CDTF">2026-07-15T01:35:34Z</dcterms:created>
  <dcterms:modified xsi:type="dcterms:W3CDTF">2026-07-15T01:35:34Z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