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gfqyyhrhtt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gqqpxonsfz</w:t>
      </w:r>
    </w:p>
    <w:p>
      <w:pPr>
        <w:pStyle w:val="BodyText"/>
      </w:pPr>
      <w:r>
        <w:rPr>
          <w:bCs/>
          <w:b/>
        </w:rPr>
        <w:t xml:space="preserve">Senior Sustainability Consultant:</w:t>
      </w:r>
      <w:r>
        <w:t xml:space="preserve"> </w:t>
      </w:r>
      <w:r>
        <w:t xml:space="preserve">xgvneqhphl</w:t>
      </w:r>
    </w:p>
    <w:p>
      <w:pPr>
        <w:pStyle w:val="BodyText"/>
      </w:pPr>
      <w:r>
        <w:t xml:space="preserve">Disclaimer: This report is generated based on available data and industry standards. The accuracy of the analysis is dependent on the completeness and precision of the input parameters provided. While efforts have been made to ensure accuracy, this report should be used for informational and strategic planning purposes.</w:t>
      </w:r>
    </w:p>
    <w:bookmarkEnd w:id="20"/>
    <w:bookmarkStart w:id="21" w:name="X221aa0e438914314b3267b1d11fd8aaf70f425a"/>
    <w:p>
      <w:pPr>
        <w:pStyle w:val="Heading1"/>
      </w:pPr>
      <w:r>
        <w:t xml:space="preserve">Product Carbon Footprint Analysis for gfqyyhrhtt</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gfqyyhrhtt</w:t>
      </w:r>
      <w:r>
        <w:t xml:space="preserve">, manufactured by</w:t>
      </w:r>
      <w:r>
        <w:t xml:space="preserve"> </w:t>
      </w:r>
      <w:r>
        <w:rPr>
          <w:bCs/>
          <w:b/>
        </w:rPr>
        <w:t xml:space="preserve">gqqpxonsfz</w:t>
      </w:r>
      <w:r>
        <w:t xml:space="preserve">. Conducted by Senior Sustainability Consultant</w:t>
      </w:r>
      <w:r>
        <w:t xml:space="preserve"> </w:t>
      </w:r>
      <w:r>
        <w:rPr>
          <w:bCs/>
          <w:b/>
        </w:rPr>
        <w:t xml:space="preserve">xgvneqhphl</w:t>
      </w:r>
      <w:r>
        <w:t xml:space="preserve">, this assessment adheres strictly to the GHG Protocol accounting standard, incorporating the 2026 Land Sector and Removals (LSR) update and ensuring robust Scope 3 compliance. The analysis covers the entire product lifecycle from raw material acquisition to end-of-life, with a system boundary set at \'factory_gate\' for the initial production phase and considering downstream impacts. The primary objective is to quantify the greenhouse gas emissions associated with one functional unit of gfqyyhrhtt, identify significant emission hotspots, and provide actionable insights for emission reduction strategies, focusing on a European supply chain from a Chinese final production country.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foundational parameters for this Product Carbon Footprint (PCF) analysis are defined as follows, in accordance with the GHG Protocol Product Standard.</w:t>
      </w:r>
    </w:p>
    <w:p>
      <w:pPr>
        <w:numPr>
          <w:ilvl w:val="0"/>
          <w:numId w:val="1001"/>
        </w:numPr>
        <w:pStyle w:val="Compact"/>
      </w:pPr>
      <w:r>
        <w:rPr>
          <w:bCs/>
          <w:b/>
        </w:rPr>
        <w:t xml:space="preserve">Functional Unit:</w:t>
      </w:r>
      <w:r>
        <w:t xml:space="preserve"> </w:t>
      </w:r>
      <w:r>
        <w:t xml:space="preserve">1.0 unit of gfqyyhrhtt. This serves as the reference flow for all quantified inputs and outputs.</w:t>
      </w:r>
    </w:p>
    <w:p>
      <w:pPr>
        <w:numPr>
          <w:ilvl w:val="0"/>
          <w:numId w:val="1001"/>
        </w:numPr>
        <w:pStyle w:val="Compact"/>
      </w:pPr>
      <w:r>
        <w:rPr>
          <w:bCs/>
          <w:b/>
        </w:rPr>
        <w:t xml:space="preserve">System Boundary:</w:t>
      </w:r>
      <w:r>
        <w:t xml:space="preserve"> </w:t>
      </w:r>
      <w:r>
        <w:t xml:space="preserve">The analysis employs a "cradle-to-gate" plus downstream approach, with the primary production boundary set at the \'factory_gate\' of the final production facility. This includes raw material acquisition, manufacturing processes, packaging, and transport to the factory gate. Additionally, downstream phases (transport to customer, use phase, and end-of-life) are included to provide a comprehensive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significant portion of upstream material sourcing and downstream distribution impacts will be modeled with European logistics and market characteristics where applicable.</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the methodological framework for quantifying and reporting product-level GHG emissions, including the classification of emissions into Scope 1, Scope 2, and Scope 3 categories as defined by the GHG Corporate Standard.</w:t>
      </w:r>
    </w:p>
    <w:p>
      <w:pPr>
        <w:numPr>
          <w:ilvl w:val="0"/>
          <w:numId w:val="1001"/>
        </w:numPr>
        <w:pStyle w:val="Compact"/>
      </w:pPr>
      <w:r>
        <w:rPr>
          <w:bCs/>
          <w:b/>
        </w:rPr>
        <w:t xml:space="preserve">Allocation:</w:t>
      </w:r>
      <w:r>
        <w:t xml:space="preserve"> </w:t>
      </w:r>
      <w:r>
        <w:t xml:space="preserve">All emissions are allocated directly to the functional unit (1.0 unit of gfqyyhrhtt). For any multi-output processes, allocation is assumed to be done on a mass basis for primary products or economic value where relevant by underlying emission factor databases.</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This section details the lifecycle stages considered and the primary and secondary data points collected for the Product Carbon Footprint analysis of gfqyyhrhtt. Critical parameters provided for this analysis are integrated directly into the emission calculations.</w:t>
      </w:r>
    </w:p>
    <w:bookmarkStart w:id="24" w:name="Xab46152fedfa5de241ebfa5d289be501d096b6d"/>
    <w:p>
      <w:pPr>
        <w:pStyle w:val="Heading3"/>
      </w:pPr>
      <w:r>
        <w:t xml:space="preserve">Detailed Bill of Materials (BOM) Analysis: ilspzxlt</w:t>
      </w:r>
    </w:p>
    <w:p>
      <w:pPr>
        <w:pStyle w:val="FirstParagraph"/>
      </w:pPr>
      <w:r>
        <w:t xml:space="preserve">The provided Detailed Bill of Materials (BOM) is crucial for accurately calculating the upstream material impacts. The data for each item includes ID, Description, Category, Process, Quantity, Unit, Emission Factor, and Total Carbon. Below is a breakdown of the materials, processes, and their associated preliminary carbon impacts. Please note that the \'Total Carbon\' values are derived from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0.015</w:t>
            </w:r>
          </w:p>
        </w:tc>
      </w:tr>
      <w:tr>
        <w:tc>
          <w:tcPr/>
          <w:p>
            <w:pPr>
              <w:pStyle w:val="Compact"/>
              <w:jc w:val="left"/>
            </w:pPr>
            <w:r>
              <w:t xml:space="preserve">7</w:t>
            </w:r>
          </w:p>
        </w:tc>
        <w:tc>
          <w:tcPr/>
          <w:p>
            <w:pPr>
              <w:pStyle w:val="Compact"/>
              <w:jc w:val="left"/>
            </w:pPr>
            <w:r>
              <w:t xml:space="preserve">Fasteners (Steel)</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5.120 kg CO2e</w:t>
            </w:r>
          </w:p>
        </w:tc>
      </w:tr>
    </w:tbl>
    <w:bookmarkEnd w:id="24"/>
    <w:bookmarkStart w:id="25" w:name="production-energy-inputs"/>
    <w:p>
      <w:pPr>
        <w:pStyle w:val="Heading3"/>
      </w:pPr>
      <w:r>
        <w:t xml:space="preserve">Production Energy Inputs</w:t>
      </w:r>
    </w:p>
    <w:p>
      <w:pPr>
        <w:numPr>
          <w:ilvl w:val="0"/>
          <w:numId w:val="1003"/>
        </w:numPr>
        <w:pStyle w:val="Compact"/>
      </w:pPr>
      <w:r>
        <w:rPr>
          <w:bCs/>
          <w:b/>
        </w:rPr>
        <w:t xml:space="preserve">Energy Intensity (kWh/unit):</w:t>
      </w:r>
      <w:r>
        <w:t xml:space="preserve"> </w:t>
      </w:r>
      <w:r>
        <w:t xml:space="preserve">pgtnowosdj (0.8 kWh/unit). This represents the total electrical energy consumed during the manufacturing process for one functional unit.</w:t>
      </w:r>
    </w:p>
    <w:p>
      <w:pPr>
        <w:numPr>
          <w:ilvl w:val="0"/>
          <w:numId w:val="1003"/>
        </w:numPr>
        <w:pStyle w:val="Compact"/>
      </w:pPr>
      <w:r>
        <w:rPr>
          <w:bCs/>
          <w:b/>
        </w:rPr>
        <w:t xml:space="preserve">Renewable Energy Usage:</w:t>
      </w:r>
      <w:r>
        <w:t xml:space="preserve"> </w:t>
      </w:r>
      <w:r>
        <w:t xml:space="preserve">rkuxqmlilr (60%). This percentage of electricity consumed by the production facility is sourced from renewable energy, significantly reducing Scope 2 emissions. The remaining percentage uses the local grid mix.</w:t>
      </w:r>
    </w:p>
    <w:p>
      <w:pPr>
        <w:numPr>
          <w:ilvl w:val="0"/>
          <w:numId w:val="1003"/>
        </w:numPr>
        <w:pStyle w:val="Compact"/>
      </w:pPr>
      <w:r>
        <w:rPr>
          <w:bCs/>
          <w:b/>
        </w:rPr>
        <w:t xml:space="preserve">Estimated Scope 2 Emissions (Production):</w:t>
      </w:r>
      <w:r>
        <w:t xml:space="preserve"> </w:t>
      </w:r>
      <w:r>
        <w:t xml:space="preserve">Based on an illustrative China grid mix emission factor of 0.7 kg CO2e/kWh and a renewable energy factor of 0.01 kg CO2e/kWh, the calculated emissions from purchased electricity are</w:t>
      </w:r>
      <w:r>
        <w:t xml:space="preserve"> </w:t>
      </w:r>
      <w:r>
        <w:rPr>
          <w:bCs/>
          <w:b/>
        </w:rPr>
        <w:t xml:space="preserve">0.229 kg CO2e</w:t>
      </w:r>
      <w:r>
        <w:t xml:space="preserve"> </w:t>
      </w:r>
      <w:r>
        <w:t xml:space="preserve">per functional unit.</w:t>
      </w:r>
    </w:p>
    <w:bookmarkEnd w:id="25"/>
    <w:bookmarkStart w:id="26" w:name="logistics-data-transport"/>
    <w:p>
      <w:pPr>
        <w:pStyle w:val="Heading3"/>
      </w:pPr>
      <w:r>
        <w:t xml:space="preserve">Logistics Data (Transport)</w:t>
      </w:r>
    </w:p>
    <w:p>
      <w:pPr>
        <w:numPr>
          <w:ilvl w:val="0"/>
          <w:numId w:val="1004"/>
        </w:numPr>
        <w:pStyle w:val="Compact"/>
      </w:pPr>
      <w:r>
        <w:rPr>
          <w:bCs/>
          <w:b/>
        </w:rPr>
        <w:t xml:space="preserve">Transport Mode (Main):</w:t>
      </w:r>
      <w:r>
        <w:t xml:space="preserve"> </w:t>
      </w:r>
      <w:r>
        <w:t xml:space="preserve">Select Mode (Ocean Freight).</w:t>
      </w:r>
    </w:p>
    <w:p>
      <w:pPr>
        <w:numPr>
          <w:ilvl w:val="0"/>
          <w:numId w:val="1004"/>
        </w:numPr>
        <w:pStyle w:val="Compact"/>
      </w:pPr>
      <w:r>
        <w:rPr>
          <w:bCs/>
          <w:b/>
        </w:rPr>
        <w:t xml:space="preserve">Transport Distance (Main):</w:t>
      </w:r>
      <w:r>
        <w:t xml:space="preserve"> </w:t>
      </w:r>
      <w:r>
        <w:t xml:space="preserve">pjvuzdiuhk (5000 km).</w:t>
      </w:r>
    </w:p>
    <w:p>
      <w:pPr>
        <w:numPr>
          <w:ilvl w:val="0"/>
          <w:numId w:val="1004"/>
        </w:numPr>
        <w:pStyle w:val="Compact"/>
      </w:pPr>
      <w:r>
        <w:rPr>
          <w:bCs/>
          <w:b/>
        </w:rPr>
        <w:t xml:space="preserve">Last-Mile Delivery Channel:</w:t>
      </w:r>
      <w:r>
        <w:t xml:space="preserve"> </w:t>
      </w:r>
      <w:r>
        <w:t xml:space="preserve">Delivery Type (Last-Mile Van Delivery).</w:t>
      </w:r>
    </w:p>
    <w:p>
      <w:pPr>
        <w:numPr>
          <w:ilvl w:val="0"/>
          <w:numId w:val="1004"/>
        </w:numPr>
        <w:pStyle w:val="Compact"/>
      </w:pPr>
      <w:r>
        <w:rPr>
          <w:bCs/>
          <w:b/>
        </w:rPr>
        <w:t xml:space="preserve">Calculated Main Transport Emissions:</w:t>
      </w:r>
      <w:r>
        <w:t xml:space="preserve"> </w:t>
      </w:r>
      <w:r>
        <w:t xml:space="preserve">For a product weight of approximately 0.495 kg (including packaging), the Ocean Freight over 5000 km generates approximately</w:t>
      </w:r>
      <w:r>
        <w:t xml:space="preserve"> </w:t>
      </w:r>
      <w:r>
        <w:rPr>
          <w:bCs/>
          <w:b/>
        </w:rPr>
        <w:t xml:space="preserve">0.002 kg CO2e</w:t>
      </w:r>
      <w:r>
        <w:t xml:space="preserve">.</w:t>
      </w:r>
    </w:p>
    <w:p>
      <w:pPr>
        <w:numPr>
          <w:ilvl w:val="0"/>
          <w:numId w:val="1004"/>
        </w:numPr>
        <w:pStyle w:val="Compact"/>
      </w:pPr>
      <w:r>
        <w:rPr>
          <w:bCs/>
          <w:b/>
        </w:rPr>
        <w:t xml:space="preserve">Calculated Last-Mile Delivery Emissions:</w:t>
      </w:r>
      <w:r>
        <w:t xml:space="preserve"> </w:t>
      </w:r>
      <w:r>
        <w:t xml:space="preserve">The Last-Mile Van Delivery for an illustrative 50 km adds approximately</w:t>
      </w:r>
      <w:r>
        <w:t xml:space="preserve"> </w:t>
      </w:r>
      <w:r>
        <w:rPr>
          <w:bCs/>
          <w:b/>
        </w:rPr>
        <w:t xml:space="preserve">0.004 kg CO2e</w:t>
      </w:r>
      <w:r>
        <w:t xml:space="preserve">.</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eywnufjsmo (5 years).</w:t>
      </w:r>
    </w:p>
    <w:p>
      <w:pPr>
        <w:numPr>
          <w:ilvl w:val="0"/>
          <w:numId w:val="1005"/>
        </w:numPr>
        <w:pStyle w:val="Compact"/>
      </w:pPr>
      <w:r>
        <w:rPr>
          <w:bCs/>
          <w:b/>
        </w:rPr>
        <w:t xml:space="preserve">Energy Consumption in Use:</w:t>
      </w:r>
      <w:r>
        <w:t xml:space="preserve"> </w:t>
      </w:r>
      <w:r>
        <w:t xml:space="preserve">jfsnlwrsvk (10 kWh/year).</w:t>
      </w:r>
    </w:p>
    <w:p>
      <w:pPr>
        <w:numPr>
          <w:ilvl w:val="0"/>
          <w:numId w:val="1005"/>
        </w:numPr>
        <w:pStyle w:val="Compact"/>
      </w:pPr>
      <w:r>
        <w:rPr>
          <w:bCs/>
          <w:b/>
        </w:rPr>
        <w:t xml:space="preserve">Calculated Use Phase Emissions:</w:t>
      </w:r>
      <w:r>
        <w:t xml:space="preserve"> </w:t>
      </w:r>
      <w:r>
        <w:t xml:space="preserve">Over a 5-year lifespan, consuming 10 kWh annually, and assuming an average European grid mix emission factor of 0.25 kg CO2e/kWh, the total use phase emissions are approximately</w:t>
      </w:r>
      <w:r>
        <w:t xml:space="preserve"> </w:t>
      </w:r>
      <w:r>
        <w:rPr>
          <w:bCs/>
          <w:b/>
        </w:rPr>
        <w:t xml:space="preserve">12.500 kg CO2e</w:t>
      </w:r>
      <w:r>
        <w:t xml:space="preserve">.</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rnrjkxrdeu (80%). This indicates the proportion of the product\'s mass that is technically recyclable.</w:t>
      </w:r>
    </w:p>
    <w:p>
      <w:pPr>
        <w:numPr>
          <w:ilvl w:val="0"/>
          <w:numId w:val="1006"/>
        </w:numPr>
        <w:pStyle w:val="Compact"/>
      </w:pPr>
      <w:r>
        <w:rPr>
          <w:bCs/>
          <w:b/>
        </w:rPr>
        <w:t xml:space="preserve">Circular/Take-back Programs:</w:t>
      </w:r>
      <w:r>
        <w:t xml:space="preserve"> </w:t>
      </w:r>
      <w:r>
        <w:t xml:space="preserve">pkiqfletqx (Yes, active take-back program). The existence of such programs enhances the likelihood of actual recycling and material recovery.</w:t>
      </w:r>
    </w:p>
    <w:p>
      <w:pPr>
        <w:numPr>
          <w:ilvl w:val="0"/>
          <w:numId w:val="1006"/>
        </w:numPr>
        <w:pStyle w:val="Compact"/>
      </w:pPr>
      <w:r>
        <w:rPr>
          <w:bCs/>
          <w:b/>
        </w:rPr>
        <w:t xml:space="preserve">Calculated End-of-Life Emissions:</w:t>
      </w:r>
      <w:r>
        <w:t xml:space="preserve"> </w:t>
      </w:r>
      <w:r>
        <w:t xml:space="preserve">Assuming an effective recycling rate of 72.0% (considering recyclability and take-back programs) and specific factors for avoided emissions from recycling (-1.5 kg CO2e/kg) and landfill emissions (0.1 kg CO2e/kg), the net EoL impact is approximately</w:t>
      </w:r>
      <w:r>
        <w:t xml:space="preserve"> </w:t>
      </w:r>
      <w:r>
        <w:rPr>
          <w:bCs/>
          <w:b/>
        </w:rPr>
        <w:t xml:space="preserve">-0.521 kg CO2e</w:t>
      </w:r>
      <w:r>
        <w:t xml:space="preserve">, indicating a carbon credit due to recycling.</w:t>
      </w:r>
    </w:p>
    <w:p>
      <w:r>
        <w:pict>
          <v:rect style="width:0;height:1.5pt" o:hralign="center" o:hrstd="t" o:hr="t"/>
        </w:pict>
      </w:r>
    </w:p>
    <w:bookmarkEnd w:id="28"/>
    <w:bookmarkEnd w:id="29"/>
    <w:bookmarkStart w:id="35" w:name="X4468b65c82fc7bf893fd55b87acd53d0cd54c86"/>
    <w:p>
      <w:pPr>
        <w:pStyle w:val="Heading2"/>
      </w:pPr>
      <w:r>
        <w:t xml:space="preserve">4. Emissions Calculation (GHG Protocol Scopes)</w:t>
      </w:r>
    </w:p>
    <w:p>
      <w:pPr>
        <w:pStyle w:val="FirstParagraph"/>
      </w:pPr>
      <w:r>
        <w:t xml:space="preserve">This section quantifies the Product Carbon Footprint of gfqyyhrhtt, categorizing emissions according to the GHG Protocol\'s Scope 1, Scope 2, and Scope 3 definitions. All calculations use industry-standard emission factors (e.g., from Ecoinvent/DEFRA) for illustrative purposes, based on the specific data points provided.</w:t>
      </w:r>
    </w:p>
    <w:bookmarkStart w:id="30" w:name="overall-product-carbon-footprint"/>
    <w:p>
      <w:pPr>
        <w:pStyle w:val="Heading3"/>
      </w:pPr>
      <w:r>
        <w:t xml:space="preserve">Overall Product Carbon Footprint</w:t>
      </w:r>
    </w:p>
    <w:p>
      <w:pPr>
        <w:pStyle w:val="FirstParagraph"/>
      </w:pPr>
      <w:r>
        <w:t xml:space="preserve">The total estimated Product Carbon Footprint for one functional unit of gfqyyhrhtt is</w:t>
      </w:r>
      <w:r>
        <w:t xml:space="preserve"> </w:t>
      </w:r>
      <w:r>
        <w:rPr>
          <w:bCs/>
          <w:b/>
        </w:rPr>
        <w:t xml:space="preserve">17.334 kg CO2e</w:t>
      </w:r>
      <w:r>
        <w:t xml:space="preserve">.</w:t>
      </w:r>
    </w:p>
    <w:bookmarkEnd w:id="30"/>
    <w:bookmarkStart w:id="34" w:name="ghg-protocol-scope-breakdown"/>
    <w:p>
      <w:pPr>
        <w:pStyle w:val="Heading3"/>
      </w:pPr>
      <w:r>
        <w:t xml:space="preserve">GHG Protocol Scope Breakdown</w:t>
      </w:r>
    </w:p>
    <w:p>
      <w:pPr>
        <w:pStyle w:val="FirstParagraph"/>
      </w:pPr>
      <w:r>
        <w:t xml:space="preserve">Emissions are categorized as per the GHG Protocol Corporate Standard, reflecting the types of emissions relevant to the product\'s lifecycle.</w:t>
      </w:r>
    </w:p>
    <w:bookmarkStart w:id="31" w:name="scope-1-emissions-direct-emissions"/>
    <w:p>
      <w:pPr>
        <w:pStyle w:val="Heading4"/>
      </w:pPr>
      <w:r>
        <w:t xml:space="preserve">Scope 1 Emissions (Direct Emissions)</w:t>
      </w:r>
    </w:p>
    <w:p>
      <w:pPr>
        <w:pStyle w:val="FirstParagraph"/>
      </w:pPr>
      <w:r>
        <w:t xml:space="preserve">For a product-level analysis with a \'factory_gate\' boundary, direct Scope 1 emissions typically refer to direct combustion at the manufacturing facility *attributable to the production of the functional unit*. In this analysis, direct combustion emissions from the factory (e.g., natural gas for heating processes) are not explicitly provided as a parameter. Therefore, it is assumed that any such emissions would either be negligible or already embedded within the supplied material or energy emission factors if the factory is supplying a semi-finished product. For a holistic company PCF, these would be directly reported by the factory owner. For this product, we report</w:t>
      </w:r>
      <w:r>
        <w:t xml:space="preserve"> </w:t>
      </w:r>
      <w:r>
        <w:rPr>
          <w:bCs/>
          <w:b/>
        </w:rPr>
        <w:t xml:space="preserve">0.00 kg CO2e</w:t>
      </w:r>
      <w:r>
        <w:t xml:space="preserve"> </w:t>
      </w:r>
      <w:r>
        <w:t xml:space="preserve">for direct operational emissions from the production of gfqyyhrhtt within the factory boundary that are not otherwise captured.</w:t>
      </w:r>
    </w:p>
    <w:bookmarkEnd w:id="31"/>
    <w:bookmarkStart w:id="32" w:name="Xebc6c1e1c9cdd6e8c7b1cd23f7b8d1896fe6fc9"/>
    <w:p>
      <w:pPr>
        <w:pStyle w:val="Heading4"/>
      </w:pPr>
      <w:r>
        <w:t xml:space="preserve">Scope 2 Emissions (Purchased Electricity, Heat, Steam, &amp; Cooling)</w:t>
      </w:r>
    </w:p>
    <w:p>
      <w:pPr>
        <w:pStyle w:val="FirstParagraph"/>
      </w:pPr>
      <w:r>
        <w:t xml:space="preserve">These emissions arise from the generation of purchased electricity used in the production process.</w:t>
      </w:r>
    </w:p>
    <w:p>
      <w:pPr>
        <w:numPr>
          <w:ilvl w:val="0"/>
          <w:numId w:val="1007"/>
        </w:numPr>
        <w:pStyle w:val="Compact"/>
      </w:pPr>
      <w:r>
        <w:rPr>
          <w:bCs/>
          <w:b/>
        </w:rPr>
        <w:t xml:space="preserve">Production Electricity Emissions:</w:t>
      </w:r>
      <w:r>
        <w:t xml:space="preserve"> </w:t>
      </w:r>
      <w:r>
        <w:t xml:space="preserve">0.229 kg CO2e</w:t>
      </w:r>
    </w:p>
    <w:p>
      <w:pPr>
        <w:pStyle w:val="FirstParagraph"/>
      </w:pPr>
      <w:r>
        <w:rPr>
          <w:bCs/>
          <w:b/>
        </w:rPr>
        <w:t xml:space="preserve">Total Scope 2 Emissions: 0.229 kg CO2e</w:t>
      </w:r>
    </w:p>
    <w:bookmarkEnd w:id="32"/>
    <w:bookmarkStart w:id="33" w:name="scope-3-emissions-value-chain-emissions"/>
    <w:p>
      <w:pPr>
        <w:pStyle w:val="Heading4"/>
      </w:pPr>
      <w:r>
        <w:t xml:space="preserve">Scope 3 Emissions (Value Chain Emissions)</w:t>
      </w:r>
    </w:p>
    <w:p>
      <w:pPr>
        <w:pStyle w:val="FirstParagraph"/>
      </w:pPr>
      <w:r>
        <w:t xml:space="preserve">Scope 3 emissions encompass all indirect emissions not included in Scope 2 that occur in the value chain of the product, both upstream and downstream. Our analysis targets at least 95% coverage as per 2026 requirements.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 3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Category 1: Purchased Goods and Services</w:t>
            </w:r>
          </w:p>
        </w:tc>
        <w:tc>
          <w:tcPr/>
          <w:p>
            <w:pPr>
              <w:pStyle w:val="Compact"/>
              <w:jc w:val="left"/>
            </w:pPr>
            <w:r>
              <w:t xml:space="preserve">Emissions from the extraction, production, and transportation of raw materials and components used to manufacture gfqyyhrhtt.</w:t>
            </w:r>
          </w:p>
        </w:tc>
        <w:tc>
          <w:tcPr/>
          <w:p>
            <w:pPr>
              <w:pStyle w:val="Compact"/>
              <w:jc w:val="left"/>
            </w:pPr>
            <w:r>
              <w:t xml:space="preserve">5.120 kg CO2e</w:t>
            </w:r>
          </w:p>
        </w:tc>
      </w:tr>
      <w:tr>
        <w:tc>
          <w:tcPr/>
          <w:p>
            <w:pPr>
              <w:pStyle w:val="Compact"/>
              <w:jc w:val="left"/>
            </w:pPr>
            <w:r>
              <w:rPr>
                <w:bCs/>
                <w:b/>
              </w:rPr>
              <w:t xml:space="preserve">Category 4: Upstream Transportation and Distribution</w:t>
            </w:r>
          </w:p>
        </w:tc>
        <w:tc>
          <w:tcPr/>
          <w:p>
            <w:pPr>
              <w:pStyle w:val="Compact"/>
              <w:jc w:val="left"/>
            </w:pPr>
            <w:r>
              <w:t xml:space="preserve">Emissions from the transportation of raw materials and components to the manufacturing facility (part of main transport).</w:t>
            </w:r>
          </w:p>
        </w:tc>
        <w:tc>
          <w:tcPr/>
          <w:p>
            <w:pPr>
              <w:pStyle w:val="Compact"/>
              <w:jc w:val="left"/>
            </w:pPr>
            <w:r>
              <w:t xml:space="preserve">0.002 kg CO2e</w:t>
            </w:r>
          </w:p>
        </w:tc>
      </w:tr>
      <w:tr>
        <w:tc>
          <w:tcPr/>
          <w:p>
            <w:pPr>
              <w:pStyle w:val="Compact"/>
              <w:jc w:val="left"/>
            </w:pPr>
            <w:r>
              <w:rPr>
                <w:bCs/>
                <w:b/>
              </w:rPr>
              <w:t xml:space="preserve">Category 9: Downstream Transportation and Distribution</w:t>
            </w:r>
          </w:p>
        </w:tc>
        <w:tc>
          <w:tcPr/>
          <w:p>
            <w:pPr>
              <w:pStyle w:val="Compact"/>
              <w:jc w:val="left"/>
            </w:pPr>
            <w:r>
              <w:t xml:space="preserve">Emissions from product distribution from the manufacturing facility to the end-consumer (last-mile delivery).</w:t>
            </w:r>
          </w:p>
        </w:tc>
        <w:tc>
          <w:tcPr/>
          <w:p>
            <w:pPr>
              <w:pStyle w:val="Compact"/>
              <w:jc w:val="left"/>
            </w:pPr>
            <w:r>
              <w:t xml:space="preserve">0.004 kg CO2e</w:t>
            </w:r>
          </w:p>
        </w:tc>
      </w:tr>
      <w:tr>
        <w:tc>
          <w:tcPr/>
          <w:p>
            <w:pPr>
              <w:pStyle w:val="Compact"/>
              <w:jc w:val="left"/>
            </w:pPr>
            <w:r>
              <w:rPr>
                <w:bCs/>
                <w:b/>
              </w:rPr>
              <w:t xml:space="preserve">Category 11: Use of Sold Products</w:t>
            </w:r>
          </w:p>
        </w:tc>
        <w:tc>
          <w:tcPr/>
          <w:p>
            <w:pPr>
              <w:pStyle w:val="Compact"/>
              <w:jc w:val="left"/>
            </w:pPr>
            <w:r>
              <w:t xml:space="preserve">Emissions from the energy consumption of gfqyyhrhtt during its estimated lifespan.</w:t>
            </w:r>
          </w:p>
        </w:tc>
        <w:tc>
          <w:tcPr/>
          <w:p>
            <w:pPr>
              <w:pStyle w:val="Compact"/>
              <w:jc w:val="left"/>
            </w:pPr>
            <w:r>
              <w:t xml:space="preserve">12.500 kg CO2e</w:t>
            </w:r>
          </w:p>
        </w:tc>
      </w:tr>
      <w:tr>
        <w:tc>
          <w:tcPr/>
          <w:p>
            <w:pPr>
              <w:pStyle w:val="Compact"/>
              <w:jc w:val="left"/>
            </w:pPr>
            <w:r>
              <w:rPr>
                <w:bCs/>
                <w:b/>
              </w:rPr>
              <w:t xml:space="preserve">Category 12: End-of-Life Treatment of Sold Products</w:t>
            </w:r>
          </w:p>
        </w:tc>
        <w:tc>
          <w:tcPr/>
          <w:p>
            <w:pPr>
              <w:pStyle w:val="Compact"/>
              <w:jc w:val="left"/>
            </w:pPr>
            <w:r>
              <w:t xml:space="preserve">Emissions and avoided emissions associated with the disposal, recycling, and recovery of gfqyyhrhtt at the end of its life.</w:t>
            </w:r>
          </w:p>
        </w:tc>
        <w:tc>
          <w:tcPr/>
          <w:p>
            <w:pPr>
              <w:pStyle w:val="Compact"/>
              <w:jc w:val="left"/>
            </w:pPr>
            <w:r>
              <w:t xml:space="preserve">-0.521 kg CO2e</w:t>
            </w:r>
          </w:p>
        </w:tc>
      </w:tr>
      <w:tr>
        <w:tc>
          <w:tcPr/>
          <w:p>
            <w:pPr>
              <w:pStyle w:val="Compact"/>
              <w:jc w:val="left"/>
            </w:pPr>
            <w:r>
              <w:rPr>
                <w:bCs/>
                <w:b/>
              </w:rPr>
              <w:t xml:space="preserve">LSR Standard (Integrated)</w:t>
            </w:r>
          </w:p>
        </w:tc>
        <w:tc>
          <w:tcPr/>
          <w:p>
            <w:pPr>
              <w:pStyle w:val="Compact"/>
              <w:jc w:val="left"/>
            </w:pPr>
            <w:r>
              <w:t xml:space="preserve">For land-based material inputs or processes (e.g., bio-based materials, packaging from forestry), emissions and removals related to land use change and carbon sequestration are considered. (Specific data not provided, but methodology noted.)</w:t>
            </w:r>
          </w:p>
        </w:tc>
        <w:tc>
          <w:tcPr/>
          <w:p>
            <w:pPr>
              <w:pStyle w:val="Compact"/>
              <w:jc w:val="left"/>
            </w:pPr>
            <w:r>
              <w:t xml:space="preserve">~0.00 kg CO2e (placeholder, requires specific data)</w:t>
            </w:r>
          </w:p>
        </w:tc>
      </w:tr>
      <w:tr>
        <w:tc>
          <w:tcPr>
            <w:gridSpan w:val="2"/>
          </w:tcPr>
          <w:p>
            <w:pPr>
              <w:pStyle w:val="Compact"/>
              <w:jc w:val="right"/>
            </w:pPr>
            <w:r>
              <w:rPr>
                <w:bCs/>
                <w:b/>
              </w:rPr>
              <w:t xml:space="preserve">Total Scope 3 Emissions:</w:t>
            </w:r>
          </w:p>
        </w:tc>
        <w:tc>
          <w:tcPr/>
          <w:p>
            <w:pPr>
              <w:pStyle w:val="Compact"/>
              <w:jc w:val="left"/>
            </w:pPr>
            <w:r>
              <w:rPr>
                <w:bCs/>
                <w:b/>
              </w:rPr>
              <w:t xml:space="preserve">17.105 kg CO2e</w:t>
            </w:r>
          </w:p>
        </w:tc>
      </w:tr>
    </w:tbl>
    <w:p>
      <w:pPr>
        <w:pStyle w:val="BodyText"/>
      </w:pPr>
      <w:r>
        <w:rPr>
          <w:bCs/>
          <w:b/>
        </w:rPr>
        <w:t xml:space="preserve">Note on LSR Standard:</w:t>
      </w:r>
      <w:r>
        <w:t xml:space="preserve"> </w:t>
      </w:r>
      <w:r>
        <w:t xml:space="preserve">While the 2026 Land Sector and Removals (LSR) Standard is acknowledged and its integration is mandated for relevant land-based emissions and removals (e.g., from bio-based packaging, forestry products), specific data points for LSR calculations were not provided within the parameters. Therefore, the direct quantification of LSR impacts is currently a placeholder, awaiting granular data on bio-carbon flows, land-use change, and specific forestry practices for relevant material inputs.</w:t>
      </w:r>
    </w:p>
    <w:p>
      <w:pPr>
        <w:pStyle w:val="BodyText"/>
      </w:pPr>
      <w:r>
        <w:rPr>
          <w:bCs/>
          <w:b/>
        </w:rPr>
        <w:t xml:space="preserve">Note on Scope 3 Coverage:</w:t>
      </w:r>
      <w:r>
        <w:t xml:space="preserve"> </w:t>
      </w:r>
      <w:r>
        <w:t xml:space="preserve">Based on the comprehensive inclusion of material, transport, use-phase, and end-of-life emissions, this analysis aims for over 95% coverage of relevant Scope 3 categories, aligning with 2026 reporting requirements.</w:t>
      </w:r>
    </w:p>
    <w:p>
      <w:r>
        <w:pict>
          <v:rect style="width:0;height:1.5pt" o:hralign="center" o:hrstd="t" o:hr="t"/>
        </w:pict>
      </w:r>
    </w:p>
    <w:bookmarkEnd w:id="33"/>
    <w:bookmarkEnd w:id="34"/>
    <w:bookmarkEnd w:id="35"/>
    <w:bookmarkStart w:id="39"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Based on the calculations, the primary emission hotspots for gfqyyhrhtt are identified as follows:</w:t>
      </w:r>
    </w:p>
    <w:p>
      <w:pPr>
        <w:numPr>
          <w:ilvl w:val="0"/>
          <w:numId w:val="1008"/>
        </w:numPr>
        <w:pStyle w:val="Compact"/>
      </w:pPr>
      <w:r>
        <w:rPr>
          <w:bCs/>
          <w:b/>
        </w:rPr>
        <w:t xml:space="preserve">Use Phase (Scope 3, Category 11):</w:t>
      </w:r>
      <w:r>
        <w:t xml:space="preserve"> </w:t>
      </w:r>
      <w:r>
        <w:t xml:space="preserve">This phase accounts for the largest portion of the product\'s footprint (12.500 kg CO2e), highlighting the importance of energy efficiency in product design.</w:t>
      </w:r>
    </w:p>
    <w:p>
      <w:pPr>
        <w:numPr>
          <w:ilvl w:val="0"/>
          <w:numId w:val="1008"/>
        </w:numPr>
        <w:pStyle w:val="Compact"/>
      </w:pPr>
      <w:r>
        <w:rPr>
          <w:bCs/>
          <w:b/>
        </w:rPr>
        <w:t xml:space="preserve">Materials Acquisition and Processing (Scope 3, Category 1):</w:t>
      </w:r>
      <w:r>
        <w:t xml:space="preserve"> </w:t>
      </w:r>
      <w:r>
        <w:t xml:space="preserve">This phase is the second largest contributor (5.120 kg CO2e), driven by the energy-intensive production of components like Aluminum, Circuit Boards, and Lithium-ion Batteries.</w:t>
      </w:r>
    </w:p>
    <w:p>
      <w:pPr>
        <w:numPr>
          <w:ilvl w:val="0"/>
          <w:numId w:val="1008"/>
        </w:numPr>
        <w:pStyle w:val="Compact"/>
      </w:pPr>
      <w:r>
        <w:rPr>
          <w:bCs/>
          <w:b/>
        </w:rPr>
        <w:t xml:space="preserve">Production Energy (Scope 2):</w:t>
      </w:r>
      <w:r>
        <w:t xml:space="preserve"> </w:t>
      </w:r>
      <w:r>
        <w:t xml:space="preserve">While partially mitigated by 60% renewable energy usage, the remaining grid electricity consumption during manufacturing still contributes (0.229 kg CO2e) to the footprint.</w:t>
      </w:r>
    </w:p>
    <w:bookmarkEnd w:id="36"/>
    <w:bookmarkStart w:id="37" w:name="reliability-and-data-limitations"/>
    <w:p>
      <w:pPr>
        <w:pStyle w:val="Heading3"/>
      </w:pPr>
      <w:r>
        <w:t xml:space="preserve">Reliability and Data Limitations</w:t>
      </w:r>
    </w:p>
    <w:p>
      <w:pPr>
        <w:numPr>
          <w:ilvl w:val="0"/>
          <w:numId w:val="1009"/>
        </w:numPr>
        <w:pStyle w:val="Compact"/>
      </w:pPr>
      <w:r>
        <w:rPr>
          <w:bCs/>
          <w:b/>
        </w:rPr>
        <w:t xml:space="preserve">Illustrative Emission Factors:</w:t>
      </w:r>
      <w:r>
        <w:t xml:space="preserve"> </w:t>
      </w:r>
      <w:r>
        <w:t xml:space="preserve">Industry-standard emission factors (e.g., from Ecoinvent, DEFRA) have been used, but specific primary data from suppliers could refine these.</w:t>
      </w:r>
    </w:p>
    <w:p>
      <w:pPr>
        <w:numPr>
          <w:ilvl w:val="0"/>
          <w:numId w:val="1009"/>
        </w:numPr>
        <w:pStyle w:val="Compact"/>
      </w:pPr>
      <w:r>
        <w:rPr>
          <w:bCs/>
          <w:b/>
        </w:rPr>
        <w:t xml:space="preserve">Placeholder Data:</w:t>
      </w:r>
      <w:r>
        <w:t xml:space="preserve"> </w:t>
      </w:r>
      <w:r>
        <w:t xml:space="preserve">Several parameters were provided as placeholders (e.g., \'Select Mode\', \'pjvuzdiuhk\', \'rkuxqmlilr\'). Illustrative values have been assumed for these to demonstrate the calculation methodology. Actual values from gqqpxonsfz would lead to more precise results.</w:t>
      </w:r>
    </w:p>
    <w:p>
      <w:pPr>
        <w:numPr>
          <w:ilvl w:val="0"/>
          <w:numId w:val="1009"/>
        </w:numPr>
        <w:pStyle w:val="Compact"/>
      </w:pPr>
      <w:r>
        <w:rPr>
          <w:bCs/>
          <w:b/>
        </w:rPr>
        <w:t xml:space="preserve">LSR Standard:</w:t>
      </w:r>
      <w:r>
        <w:t xml:space="preserve"> </w:t>
      </w:r>
      <w:r>
        <w:t xml:space="preserve">Full implementation of the 2026 LSR Standard requires specific land-use and biogenic carbon data, which were not available. A placeholder is included, and further data collection is recommended.</w:t>
      </w:r>
    </w:p>
    <w:p>
      <w:pPr>
        <w:numPr>
          <w:ilvl w:val="0"/>
          <w:numId w:val="1009"/>
        </w:numPr>
        <w:pStyle w:val="Compact"/>
      </w:pPr>
      <w:r>
        <w:rPr>
          <w:bCs/>
          <w:b/>
        </w:rPr>
        <w:t xml:space="preserve">Scope 1:</w:t>
      </w:r>
      <w:r>
        <w:t xml:space="preserve"> </w:t>
      </w:r>
      <w:r>
        <w:t xml:space="preserve">Direct factory emissions not embedded in electricity or material EFs were assumed negligible for the product boundary.</w:t>
      </w:r>
    </w:p>
    <w:bookmarkEnd w:id="37"/>
    <w:bookmarkStart w:id="38" w:name="recommendations-for-emission-reduction"/>
    <w:p>
      <w:pPr>
        <w:pStyle w:val="Heading3"/>
      </w:pPr>
      <w:r>
        <w:t xml:space="preserve">Recommendations for Emission Reduction</w:t>
      </w:r>
    </w:p>
    <w:p>
      <w:pPr>
        <w:pStyle w:val="FirstParagraph"/>
      </w:pPr>
      <w:r>
        <w:t xml:space="preserve">To reduce the Product Carbon Footprint of gfqyyhrhtt, gqqpxonsfz should consider the following actions:</w:t>
      </w:r>
    </w:p>
    <w:p>
      <w:pPr>
        <w:numPr>
          <w:ilvl w:val="0"/>
          <w:numId w:val="1010"/>
        </w:numPr>
        <w:pStyle w:val="Compact"/>
      </w:pPr>
      <w:r>
        <w:rPr>
          <w:bCs/>
          <w:b/>
        </w:rPr>
        <w:t xml:space="preserve">Energy Efficiency in Use Phase:</w:t>
      </w:r>
    </w:p>
    <w:p>
      <w:pPr>
        <w:numPr>
          <w:ilvl w:val="1"/>
          <w:numId w:val="1011"/>
        </w:numPr>
        <w:pStyle w:val="Compact"/>
      </w:pPr>
      <w:r>
        <w:t xml:space="preserve">Innovate product design to significantly reduce energy consumption during the operational lifespan, as this is the dominant hotspot.</w:t>
      </w:r>
    </w:p>
    <w:p>
      <w:pPr>
        <w:numPr>
          <w:ilvl w:val="1"/>
          <w:numId w:val="1011"/>
        </w:numPr>
        <w:pStyle w:val="Compact"/>
      </w:pPr>
      <w:r>
        <w:t xml:space="preserve">Provide clear guidance to consumers on energy-efficient usage and best practices.</w:t>
      </w:r>
    </w:p>
    <w:p>
      <w:pPr>
        <w:numPr>
          <w:ilvl w:val="0"/>
          <w:numId w:val="1010"/>
        </w:numPr>
        <w:pStyle w:val="Compact"/>
      </w:pPr>
      <w:r>
        <w:rPr>
          <w:bCs/>
          <w:b/>
        </w:rPr>
        <w:t xml:space="preserve">Material Optimization:</w:t>
      </w:r>
    </w:p>
    <w:p>
      <w:pPr>
        <w:numPr>
          <w:ilvl w:val="1"/>
          <w:numId w:val="1012"/>
        </w:numPr>
        <w:pStyle w:val="Compact"/>
      </w:pPr>
      <w:r>
        <w:t xml:space="preserve">Explore alternative materials with lower embodied carbon, particularly for high-impact components like aluminum and batteries.</w:t>
      </w:r>
    </w:p>
    <w:p>
      <w:pPr>
        <w:numPr>
          <w:ilvl w:val="1"/>
          <w:numId w:val="1012"/>
        </w:numPr>
        <w:pStyle w:val="Compact"/>
      </w:pPr>
      <w:r>
        <w:t xml:space="preserve">Increase recycled content in materials where feasible without compromising product quality or lifespan.</w:t>
      </w:r>
    </w:p>
    <w:p>
      <w:pPr>
        <w:numPr>
          <w:ilvl w:val="0"/>
          <w:numId w:val="1010"/>
        </w:numPr>
        <w:pStyle w:val="Compact"/>
      </w:pPr>
      <w:r>
        <w:rPr>
          <w:bCs/>
          <w:b/>
        </w:rPr>
        <w:t xml:space="preserve">Supply Chain Engagement:</w:t>
      </w:r>
    </w:p>
    <w:p>
      <w:pPr>
        <w:numPr>
          <w:ilvl w:val="1"/>
          <w:numId w:val="1013"/>
        </w:numPr>
        <w:pStyle w:val="Compact"/>
      </w:pPr>
      <w:r>
        <w:t xml:space="preserve">Collaborate with key suppliers to encourage their transition to renewable energy sources for production processes and to provide product-specific primary data.</w:t>
      </w:r>
    </w:p>
    <w:p>
      <w:pPr>
        <w:numPr>
          <w:ilvl w:val="1"/>
          <w:numId w:val="1013"/>
        </w:numPr>
        <w:pStyle w:val="Compact"/>
      </w:pPr>
      <w:r>
        <w:t xml:space="preserve">Investigate opportunities for optimizing transportation logistics to reduce distances or shift to lower-emission modes, although transport is a minor contributor in this analysis.</w:t>
      </w:r>
    </w:p>
    <w:p>
      <w:pPr>
        <w:numPr>
          <w:ilvl w:val="0"/>
          <w:numId w:val="1010"/>
        </w:numPr>
        <w:pStyle w:val="Compact"/>
      </w:pPr>
      <w:r>
        <w:rPr>
          <w:bCs/>
          <w:b/>
        </w:rPr>
        <w:t xml:space="preserve">Circular Economy Initiatives:</w:t>
      </w:r>
    </w:p>
    <w:p>
      <w:pPr>
        <w:numPr>
          <w:ilvl w:val="1"/>
          <w:numId w:val="1014"/>
        </w:numPr>
        <w:pStyle w:val="Compact"/>
      </w:pPr>
      <w:r>
        <w:t xml:space="preserve">Strengthen and promote the existing take-back program (Yes, active take-back program) to maximize actual recycling rates and ensure materials are recovered effectively, building on the current carbon credit for EoL.</w:t>
      </w:r>
    </w:p>
    <w:p>
      <w:pPr>
        <w:numPr>
          <w:ilvl w:val="1"/>
          <w:numId w:val="1014"/>
        </w:numPr>
        <w:pStyle w:val="Compact"/>
      </w:pPr>
      <w:r>
        <w:t xml:space="preserve">Design for disassembly and repairability to extend product lifespan and facilitate material recovery.</w:t>
      </w:r>
    </w:p>
    <w:p>
      <w:pPr>
        <w:numPr>
          <w:ilvl w:val="0"/>
          <w:numId w:val="1010"/>
        </w:numPr>
        <w:pStyle w:val="Compact"/>
      </w:pPr>
      <w:r>
        <w:rPr>
          <w:bCs/>
          <w:b/>
        </w:rPr>
        <w:t xml:space="preserve">Data Enhancement:</w:t>
      </w:r>
    </w:p>
    <w:p>
      <w:pPr>
        <w:numPr>
          <w:ilvl w:val="1"/>
          <w:numId w:val="1015"/>
        </w:numPr>
        <w:pStyle w:val="Compact"/>
      </w:pPr>
      <w:r>
        <w:t xml:space="preserve">Collect more granular, primary data from suppliers for material production and transportation to improve accuracy.</w:t>
      </w:r>
    </w:p>
    <w:p>
      <w:pPr>
        <w:numPr>
          <w:ilvl w:val="1"/>
          <w:numId w:val="1015"/>
        </w:numPr>
        <w:pStyle w:val="Compact"/>
      </w:pPr>
      <w:r>
        <w:t xml:space="preserve">Conduct a detailed assessment of land-use impacts and carbon removals to fully comply with the 2026 LSR Standard.</w:t>
      </w:r>
    </w:p>
    <w:p>
      <w:r>
        <w:pict>
          <v:rect style="width:0;height:1.5pt" o:hralign="center" o:hrstd="t" o:hr="t"/>
        </w:pict>
      </w:r>
    </w:p>
    <w:bookmarkEnd w:id="38"/>
    <w:bookmarkEnd w:id="3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gfqyyhrhtt</dc:title>
  <dc:creator/>
  <dc:description>Detailed Product Carbon Footprint (PCF) analysis report for gfqyyhrhtt by gqqpxonsfz, adhering to GHG Protocol standards and 2026 LSR updates.</dc:description>
  <cp:keywords/>
  <dcterms:created xsi:type="dcterms:W3CDTF">2026-05-30T10:35:07Z</dcterms:created>
  <dcterms:modified xsi:type="dcterms:W3CDTF">2026-05-30T10:35:07Z</dcterms:modified>
</cp:coreProperties>
</file>

<file path=docProps/custom.xml><?xml version="1.0" encoding="utf-8"?>
<Properties xmlns="http://schemas.openxmlformats.org/officeDocument/2006/custom-properties" xmlns:vt="http://schemas.openxmlformats.org/officeDocument/2006/docPropsVTypes"/>
</file>