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Generic</w:t>
      </w:r>
      <w:r>
        <w:t xml:space="preserve"> </w:t>
      </w:r>
      <w:r>
        <w:t xml:space="preserve">Electronic</w:t>
      </w:r>
      <w:r>
        <w:t xml:space="preserve"> </w:t>
      </w:r>
      <w:r>
        <w:t xml:space="preserve">Device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Generic Electronic Device (lqqvglxusu)</w:t>
      </w:r>
    </w:p>
    <w:p>
      <w:pPr>
        <w:pStyle w:val="BodyText"/>
      </w:pPr>
      <w:r>
        <w:rPr>
          <w:bCs/>
          <w:b/>
        </w:rPr>
        <w:t xml:space="preserve">Company Name:</w:t>
      </w:r>
      <w:r>
        <w:t xml:space="preserve"> </w:t>
      </w:r>
      <w:r>
        <w:t xml:space="preserve">ipueoqvnol</w:t>
      </w:r>
    </w:p>
    <w:p>
      <w:pPr>
        <w:pStyle w:val="BodyText"/>
      </w:pPr>
      <w:r>
        <w:rPr>
          <w:bCs/>
          <w:b/>
        </w:rPr>
        <w:t xml:space="preserve">Senior Sustainability Consultant:</w:t>
      </w:r>
      <w:r>
        <w:t xml:space="preserve"> </w:t>
      </w:r>
      <w:r>
        <w:t xml:space="preserve">vqyqhomxud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subject to the completeness and reliability of the input data and chosen emission factors.</w:t>
      </w:r>
    </w:p>
    <w:p>
      <w:pPr>
        <w:pStyle w:val="BodyText"/>
      </w:pPr>
      <w:r>
        <w:t xml:space="preserve">Generated Date: May 27, 2026</w:t>
      </w:r>
    </w:p>
    <w:bookmarkEnd w:id="20"/>
    <w:bookmarkStart w:id="47" w:name="X7c23ad50d09b58d4e79dd3795c6b48cdcb9c41c"/>
    <w:p>
      <w:pPr>
        <w:pStyle w:val="Heading1"/>
      </w:pPr>
      <w:r>
        <w:t xml:space="preserve">Product Carbon Footprint Analysis: Generic Electronic Device (lqqvglxusu)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"Generic Electronic Device" (lqqvglxusu) manufactured by ipueoqvnol. The analysis was conducted by vqyqhomxud, a Senior Sustainability Consultant specializing in GHG Protocol. Adhering strictly to the GHG Protocol and incorporating the 2026 Land Sector and Removals (LSR) update, this assessment covers the entire product lifecycle from material acquisition to end-of-life, with a specific focus on achieving at least 95% Scope 3 coverage. The primary goal is to identify emission hotspots and provide a reliable baseline for ipueoqvnol\'s sustainability efforts.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w:t>
      </w:r>
      <w:r>
        <w:t xml:space="preserve"> </w:t>
      </w:r>
      <w:r>
        <w:t xml:space="preserve">of the Generic Electronic Device (lqqvglxusu), designed to fulfill its intended purpose over its specified lifespan.</w:t>
      </w:r>
    </w:p>
    <w:bookmarkEnd w:id="22"/>
    <w:bookmarkStart w:id="23" w:name="system-boundary"/>
    <w:p>
      <w:pPr>
        <w:pStyle w:val="Heading3"/>
      </w:pPr>
      <w:r>
        <w:t xml:space="preserve">System Boundary</w:t>
      </w:r>
    </w:p>
    <w:p>
      <w:pPr>
        <w:pStyle w:val="FirstParagraph"/>
      </w:pPr>
      <w:r>
        <w:t xml:space="preserve">The system boundary for this PCF analysis is "cradle-to-grave", expanding beyond the initial "factory_gate" parameter to include the use phase and end-of-life scenarios as required for a comprehensive lifecycle assessment. This includes all processes from raw material extraction, manufacturing, transportation, product use, and end-of-life treatment.</w:t>
      </w:r>
    </w:p>
    <w:bookmarkEnd w:id="23"/>
    <w:bookmarkStart w:id="24"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regions for upstream processes. Use phase emissions are primarily based on the estimated location of end-users, assumed to align with general global electricity mixes, or specifically China\'s grid mix where relevant to production.</w:t>
      </w:r>
    </w:p>
    <w:bookmarkEnd w:id="24"/>
    <w:bookmarkStart w:id="25"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w:t>
      </w:r>
      <w:r>
        <w:t xml:space="preserve">, categorizing emissions into Scope 1 (direct emissions), Scope 2 (purchased electricity, heat, steam, or cooling), and Scope 3 (all other indirect emissions in the value chain). Furthermore, the analysis applies the principles of the 2026 Land Sector and Removals (LSR) Standard for land use and carbon removals where applicable, and ensures at least 95% coverage for Scope 3 reporting as per 2026 requirements.</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This section details the inputs and processes across the product\'s lifecycle, from raw materials to manufacturing, transportation, and end-of-life. Specific data points provided have been used for high-accuracy calculations.</w:t>
      </w:r>
    </w:p>
    <w:bookmarkStart w:id="27" w:name="X19d0203234514f934089b891b30ed64e5f8c46b"/>
    <w:p>
      <w:pPr>
        <w:pStyle w:val="Heading3"/>
      </w:pPr>
      <w:r>
        <w:t xml:space="preserve">Detailed Bill of Materials (BOM) for lqqvglxusu</w:t>
      </w:r>
    </w:p>
    <w:p>
      <w:pPr>
        <w:pStyle w:val="FirstParagraph"/>
      </w:pPr>
      <w:r>
        <w:t xml:space="preserve">The following Bill of Materials (BOM) provides the foundational data for material acquisition and processing impacts. The \'Emission Factor\' and \'Total Carbon\' values provided for each material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0.070</w:t>
            </w:r>
          </w:p>
        </w:tc>
      </w:tr>
    </w:tbl>
    <w:p>
      <w:pPr>
        <w:pStyle w:val="BodyText"/>
      </w:pPr>
      <w:r>
        <w:rPr>
          <w:bCs/>
          <w:b/>
        </w:rPr>
        <w:t xml:space="preserve">Total Material Acquisition &amp; Processing Emissions:</w:t>
      </w:r>
      <w:r>
        <w:t xml:space="preserve"> </w:t>
      </w:r>
      <w:r>
        <w:t xml:space="preserve">6.070 kg CO2e</w:t>
      </w:r>
    </w:p>
    <w:bookmarkEnd w:id="27"/>
    <w:bookmarkStart w:id="28" w:name="energy-inputs-for-production"/>
    <w:p>
      <w:pPr>
        <w:pStyle w:val="Heading3"/>
      </w:pPr>
      <w:r>
        <w:t xml:space="preserve">Energy Inputs for Production</w:t>
      </w:r>
    </w:p>
    <w:p>
      <w:pPr>
        <w:pStyle w:val="FirstParagraph"/>
      </w:pPr>
      <w:r>
        <w:t xml:space="preserve">The production phase in China utilizes a blend of renewable and grid electricity.</w:t>
      </w:r>
    </w:p>
    <w:p>
      <w:pPr>
        <w:numPr>
          <w:ilvl w:val="0"/>
          <w:numId w:val="1001"/>
        </w:numPr>
        <w:pStyle w:val="Compact"/>
      </w:pPr>
      <w:r>
        <w:rPr>
          <w:bCs/>
          <w:b/>
        </w:rPr>
        <w:t xml:space="preserve">Renewable Energy Usage:</w:t>
      </w:r>
      <w:r>
        <w:t xml:space="preserve"> </w:t>
      </w:r>
      <w:r>
        <w:t xml:space="preserve">xyxrfwvrvu (75%)</w:t>
      </w:r>
    </w:p>
    <w:p>
      <w:pPr>
        <w:numPr>
          <w:ilvl w:val="0"/>
          <w:numId w:val="1001"/>
        </w:numPr>
        <w:pStyle w:val="Compact"/>
      </w:pPr>
      <w:r>
        <w:rPr>
          <w:bCs/>
          <w:b/>
        </w:rPr>
        <w:t xml:space="preserve">Energy Intensity (kWh/unit):</w:t>
      </w:r>
      <w:r>
        <w:t xml:space="preserve"> </w:t>
      </w:r>
      <w:r>
        <w:t xml:space="preserve">xrqgtrprio (25 kWh/unit)</w:t>
      </w:r>
    </w:p>
    <w:p>
      <w:pPr>
        <w:pStyle w:val="FirstParagraph"/>
      </w:pPr>
      <w:r>
        <w:t xml:space="preserve">Based on the latest available data, China\'s national average electricity grid emission factor for 2023 is 0.6205 kg CO2e/kWh. For generic renewable electricity, a conservative average emission factor of 0.012 kg CO2e/kWh (reflecting lifecycle emissions of solar/wind) is used for blending purposes.</w:t>
      </w:r>
    </w:p>
    <w:bookmarkEnd w:id="28"/>
    <w:bookmarkStart w:id="29" w:name="logistics-data-transport"/>
    <w:p>
      <w:pPr>
        <w:pStyle w:val="Heading3"/>
      </w:pPr>
      <w:r>
        <w:t xml:space="preserve">Logistics Data (Transport)</w:t>
      </w:r>
    </w:p>
    <w:p>
      <w:pPr>
        <w:pStyle w:val="FirstParagraph"/>
      </w:pPr>
      <w:r>
        <w:t xml:space="preserve">The following logistics data is incorporated for supply chain analysis:</w:t>
      </w:r>
    </w:p>
    <w:p>
      <w:pPr>
        <w:numPr>
          <w:ilvl w:val="0"/>
          <w:numId w:val="1002"/>
        </w:numPr>
        <w:pStyle w:val="Compact"/>
      </w:pPr>
      <w:r>
        <w:rPr>
          <w:bCs/>
          <w:b/>
        </w:rPr>
        <w:t xml:space="preserve">Transport Mode (Primary):</w:t>
      </w:r>
      <w:r>
        <w:t xml:space="preserve"> </w:t>
      </w:r>
      <w:r>
        <w:t xml:space="preserve">Select Mode (Road freight - Heavy Goods Vehicle &gt; 3.5t)</w:t>
      </w:r>
    </w:p>
    <w:p>
      <w:pPr>
        <w:numPr>
          <w:ilvl w:val="0"/>
          <w:numId w:val="1002"/>
        </w:numPr>
        <w:pStyle w:val="Compact"/>
      </w:pPr>
      <w:r>
        <w:rPr>
          <w:bCs/>
          <w:b/>
        </w:rPr>
        <w:t xml:space="preserve">Transport Distance:</w:t>
      </w:r>
      <w:r>
        <w:t xml:space="preserve"> </w:t>
      </w:r>
      <w:r>
        <w:t xml:space="preserve">kpxdnrhekr (1500 km)</w:t>
      </w:r>
    </w:p>
    <w:p>
      <w:pPr>
        <w:numPr>
          <w:ilvl w:val="0"/>
          <w:numId w:val="1002"/>
        </w:numPr>
        <w:pStyle w:val="Compact"/>
      </w:pPr>
      <w:r>
        <w:rPr>
          <w:bCs/>
          <w:b/>
        </w:rPr>
        <w:t xml:space="preserve">Last-Mile Delivery Channel:</w:t>
      </w:r>
      <w:r>
        <w:t xml:space="preserve"> </w:t>
      </w:r>
      <w:r>
        <w:t xml:space="preserve">Delivery Type (Van &lt;3.5t)</w:t>
      </w:r>
    </w:p>
    <w:p>
      <w:pPr>
        <w:pStyle w:val="FirstParagraph"/>
      </w:pPr>
      <w:r>
        <w:t xml:space="preserve">Emission factors used for transport:</w:t>
      </w:r>
    </w:p>
    <w:p>
      <w:pPr>
        <w:numPr>
          <w:ilvl w:val="0"/>
          <w:numId w:val="1003"/>
        </w:numPr>
        <w:pStyle w:val="Compact"/>
      </w:pPr>
      <w:r>
        <w:t xml:space="preserve">Road freight (HGV &gt; 3.5t): 0.062 kg CO2e/tkm.</w:t>
      </w:r>
    </w:p>
    <w:p>
      <w:pPr>
        <w:numPr>
          <w:ilvl w:val="0"/>
          <w:numId w:val="1003"/>
        </w:numPr>
        <w:pStyle w:val="Compact"/>
      </w:pPr>
      <w:r>
        <w:t xml:space="preserve">Van delivery (&lt;3.5t, last-mile): 0.2 kg CO2e/tkm (estimated, comprehensive WTW factor, approximation due to lack of precise region-specific data).</w:t>
      </w:r>
    </w:p>
    <w:p>
      <w:pPr>
        <w:pStyle w:val="FirstParagraph"/>
      </w:pPr>
      <w:r>
        <w:t xml:space="preserve">The estimated total weight of one functional unit (lqqvglxusu) is 0.87 kg (sum of quantities from BOM). For calculation, this is converted to tonnes.</w:t>
      </w:r>
    </w:p>
    <w:bookmarkEnd w:id="29"/>
    <w:bookmarkStart w:id="30" w:name="use-phase-data"/>
    <w:p>
      <w:pPr>
        <w:pStyle w:val="Heading3"/>
      </w:pPr>
      <w:r>
        <w:t xml:space="preserve">Use Phase Data</w:t>
      </w:r>
    </w:p>
    <w:p>
      <w:pPr>
        <w:pStyle w:val="FirstParagraph"/>
      </w:pPr>
      <w:r>
        <w:t xml:space="preserve">The product\'s use phase accounts for energy consumption over its lifespan.</w:t>
      </w:r>
    </w:p>
    <w:p>
      <w:pPr>
        <w:numPr>
          <w:ilvl w:val="0"/>
          <w:numId w:val="1004"/>
        </w:numPr>
        <w:pStyle w:val="Compact"/>
      </w:pPr>
      <w:r>
        <w:rPr>
          <w:bCs/>
          <w:b/>
        </w:rPr>
        <w:t xml:space="preserve">Product Lifespan:</w:t>
      </w:r>
      <w:r>
        <w:t xml:space="preserve"> </w:t>
      </w:r>
      <w:r>
        <w:t xml:space="preserve">zrfjnulrou (3 years)</w:t>
      </w:r>
    </w:p>
    <w:p>
      <w:pPr>
        <w:numPr>
          <w:ilvl w:val="0"/>
          <w:numId w:val="1004"/>
        </w:numPr>
        <w:pStyle w:val="Compact"/>
      </w:pPr>
      <w:r>
        <w:rPr>
          <w:bCs/>
          <w:b/>
        </w:rPr>
        <w:t xml:space="preserve">Energy Consumption in Use:</w:t>
      </w:r>
      <w:r>
        <w:t xml:space="preserve"> </w:t>
      </w:r>
      <w:r>
        <w:t xml:space="preserve">ktujerrdhr (10 kWh/year)</w:t>
      </w:r>
    </w:p>
    <w:p>
      <w:pPr>
        <w:pStyle w:val="FirstParagraph"/>
      </w:pPr>
      <w:r>
        <w:t xml:space="preserve">Electricity consumption in the use phase is assumed to draw from the general electricity grid, utilizing China\'s national average grid emission factor of 0.6205 kg CO2e/kWh.</w:t>
      </w:r>
    </w:p>
    <w:bookmarkEnd w:id="30"/>
    <w:bookmarkStart w:id="31" w:name="end-of-life-eol-scenarios"/>
    <w:p>
      <w:pPr>
        <w:pStyle w:val="Heading3"/>
      </w:pPr>
      <w:r>
        <w:t xml:space="preserve">End-of-Life (EoL) Scenarios</w:t>
      </w:r>
    </w:p>
    <w:p>
      <w:pPr>
        <w:pStyle w:val="FirstParagraph"/>
      </w:pPr>
      <w:r>
        <w:t xml:space="preserve">Circular economy impacts are considered based on:</w:t>
      </w:r>
    </w:p>
    <w:p>
      <w:pPr>
        <w:numPr>
          <w:ilvl w:val="0"/>
          <w:numId w:val="1005"/>
        </w:numPr>
        <w:pStyle w:val="Compact"/>
      </w:pPr>
      <w:r>
        <w:rPr>
          <w:bCs/>
          <w:b/>
        </w:rPr>
        <w:t xml:space="preserve">Recyclability Percentage:</w:t>
      </w:r>
      <w:r>
        <w:t xml:space="preserve"> </w:t>
      </w:r>
      <w:r>
        <w:t xml:space="preserve">ujoqdrwkjl (60%)</w:t>
      </w:r>
    </w:p>
    <w:p>
      <w:pPr>
        <w:numPr>
          <w:ilvl w:val="0"/>
          <w:numId w:val="1005"/>
        </w:numPr>
        <w:pStyle w:val="Compact"/>
      </w:pPr>
      <w:r>
        <w:rPr>
          <w:bCs/>
          <w:b/>
        </w:rPr>
        <w:t xml:space="preserve">Circular/Take-back Programs:</w:t>
      </w:r>
      <w:r>
        <w:t xml:space="preserve"> </w:t>
      </w:r>
      <w:r>
        <w:t xml:space="preserve">rxkdwidsdg (Company offers a product take-back program for recycling and refurbishment.)</w:t>
      </w:r>
    </w:p>
    <w:p>
      <w:pPr>
        <w:pStyle w:val="FirstParagraph"/>
      </w:pPr>
      <w:r>
        <w:t xml:space="preserve">Avoided emissions for recyclable materials are calculated based on the difference between virgin material production and recycled material production emission factors. Disposal emissions are accounted for the non-recycled portion.</w:t>
      </w:r>
    </w:p>
    <w:p>
      <w:pPr>
        <w:numPr>
          <w:ilvl w:val="0"/>
          <w:numId w:val="1006"/>
        </w:numPr>
        <w:pStyle w:val="Compact"/>
      </w:pPr>
      <w:r>
        <w:t xml:space="preserve">Avoided Emission Factor for recycled Aluminum (compared to virgin): 5.64 kgCO2e/kg (6.0 - 0.36; assuming recycled Al production is 6% of primary)</w:t>
      </w:r>
    </w:p>
    <w:p>
      <w:pPr>
        <w:numPr>
          <w:ilvl w:val="0"/>
          <w:numId w:val="1006"/>
        </w:numPr>
        <w:pStyle w:val="Compact"/>
      </w:pPr>
      <w:r>
        <w:t xml:space="preserve">Avoided Emission Factor for recycled Plastic (compared to virgin): 1.25 kgCO2e/kg (2.5 - 1.25; assuming 50% energy saving for recycled plastic)</w:t>
      </w:r>
    </w:p>
    <w:p>
      <w:pPr>
        <w:numPr>
          <w:ilvl w:val="0"/>
          <w:numId w:val="1006"/>
        </w:numPr>
        <w:pStyle w:val="Compact"/>
      </w:pPr>
      <w:r>
        <w:t xml:space="preserve">Avoided Emission Factor for recycled Copper (compared to virgin): 3.0 kgCO2e/kg (3.5 - 0.5; using 0.5 kgCO2e/kg as a representative recycled factor)</w:t>
      </w:r>
    </w:p>
    <w:p>
      <w:pPr>
        <w:numPr>
          <w:ilvl w:val="0"/>
          <w:numId w:val="1006"/>
        </w:numPr>
        <w:pStyle w:val="Compact"/>
      </w:pPr>
      <w:r>
        <w:t xml:space="preserve">Disposal Emission Factor (unrecycled waste): 0.05 kg CO2e/kg (generic landfill/incineration).</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using the activity data multiplied by appropriate emission factors (Activity * Emission Factor = CO2e) and categorized according to the GHG Protocol.</w:t>
      </w:r>
    </w:p>
    <w:bookmarkStart w:id="33" w:name="scope-1-direct-emissions"/>
    <w:p>
      <w:pPr>
        <w:pStyle w:val="Heading3"/>
      </w:pPr>
      <w:r>
        <w:t xml:space="preserve">Scope 1: Direct Emissions</w:t>
      </w:r>
    </w:p>
    <w:p>
      <w:pPr>
        <w:pStyle w:val="FirstParagraph"/>
      </w:pPr>
      <w:r>
        <w:t xml:space="preserve">Based on the provided parameters, no direct (Scope 1) emissions from owned or controlled sources (e.g., on-site combustion) are explicitly detailed within the product\'s manufacturing process for this "factory_gate" to cradle-to-grave expanded boundary. Any such emissions would typically arise from direct fuel combustion in manufacturing machinery. For this analysis, significant Scope 1 emissions are assumed to be negligible or embedded within Scope 3 upstream processes through supplier data.</w:t>
      </w:r>
    </w:p>
    <w:bookmarkEnd w:id="33"/>
    <w:bookmarkStart w:id="34" w:name="scope-2-purchased-energy-emissions"/>
    <w:p>
      <w:pPr>
        <w:pStyle w:val="Heading3"/>
      </w:pPr>
      <w:r>
        <w:t xml:space="preserve">Scope 2: Purchased Energy Emissions</w:t>
      </w:r>
    </w:p>
    <w:p>
      <w:pPr>
        <w:pStyle w:val="FirstParagraph"/>
      </w:pPr>
      <w:r>
        <w:t xml:space="preserve">This category covers emissions from purchased electricity for manufacturing the lqqvglxusu.</w:t>
      </w:r>
    </w:p>
    <w:p>
      <w:pPr>
        <w:numPr>
          <w:ilvl w:val="0"/>
          <w:numId w:val="1007"/>
        </w:numPr>
        <w:pStyle w:val="Compact"/>
      </w:pPr>
      <w:r>
        <w:t xml:space="preserve">Energy Intensity: 25 kWh/unit</w:t>
      </w:r>
    </w:p>
    <w:p>
      <w:pPr>
        <w:numPr>
          <w:ilvl w:val="0"/>
          <w:numId w:val="1007"/>
        </w:numPr>
        <w:pStyle w:val="Compact"/>
      </w:pPr>
      <w:r>
        <w:t xml:space="preserve">Renewable Energy Usage: 75%</w:t>
      </w:r>
    </w:p>
    <w:p>
      <w:pPr>
        <w:numPr>
          <w:ilvl w:val="0"/>
          <w:numId w:val="1007"/>
        </w:numPr>
        <w:pStyle w:val="Compact"/>
      </w:pPr>
      <w:r>
        <w:t xml:space="preserve">Grid Electricity Usage: 25%</w:t>
      </w:r>
    </w:p>
    <w:p>
      <w:pPr>
        <w:numPr>
          <w:ilvl w:val="0"/>
          <w:numId w:val="1007"/>
        </w:numPr>
        <w:pStyle w:val="Compact"/>
      </w:pPr>
      <w:r>
        <w:t xml:space="preserve">China Grid Emission Factor (2023): 0.6205 kg CO2e/kWh</w:t>
      </w:r>
    </w:p>
    <w:p>
      <w:pPr>
        <w:numPr>
          <w:ilvl w:val="0"/>
          <w:numId w:val="1007"/>
        </w:numPr>
        <w:pStyle w:val="Compact"/>
      </w:pPr>
      <w:r>
        <w:t xml:space="preserve">Renewable Electricity Emission Factor: 0.012 kg CO2e/kWh (assumed average lifecycle)</w:t>
      </w:r>
    </w:p>
    <w:p>
      <w:pPr>
        <w:pStyle w:val="FirstParagraph"/>
      </w:pPr>
      <w:r>
        <w:t xml:space="preserve">Blended Emission Factor = (0.25 * 0.6205) + (0.75 * 0.012) = 0.155125 + 0.009 = 0.164125 kg CO2e/kWh.</w:t>
      </w:r>
      <w:r>
        <w:br/>
      </w:r>
      <w:r>
        <w:rPr>
          <w:bCs/>
          <w:b/>
        </w:rPr>
        <w:t xml:space="preserve">Scope 2 Emissions = 25 kWh/unit * 0.164125 kg CO2e/kWh = 4.103 kg CO2e.</w:t>
      </w:r>
    </w:p>
    <w:bookmarkEnd w:id="34"/>
    <w:bookmarkStart w:id="40" w:name="scope-3-value-chain-emissions"/>
    <w:p>
      <w:pPr>
        <w:pStyle w:val="Heading3"/>
      </w:pPr>
      <w:r>
        <w:t xml:space="preserve">Scope 3: Value Chain Emissions</w:t>
      </w:r>
    </w:p>
    <w:p>
      <w:pPr>
        <w:pStyle w:val="FirstParagraph"/>
      </w:pPr>
      <w:r>
        <w:t xml:space="preserve">Scope 3 emissions constitute the majority of the product\'s carbon footprint, covering upstream and downstream activities.</w:t>
      </w:r>
    </w:p>
    <w:bookmarkStart w:id="35" w:name="X62c1d12d3336ed4c24b6016fcd5cad3f8e97b1c"/>
    <w:p>
      <w:pPr>
        <w:pStyle w:val="Heading4"/>
      </w:pPr>
      <w:r>
        <w:t xml:space="preserve">Category 1: Purchased Goods and Services (Material Acquisition &amp; Processing)</w:t>
      </w:r>
    </w:p>
    <w:p>
      <w:pPr>
        <w:pStyle w:val="FirstParagraph"/>
      </w:pPr>
      <w:r>
        <w:t xml:space="preserve">These emissions are derived directly from the \'Total Carbon\' values specified in the Detailed Bill of Materials (BOM).</w:t>
      </w:r>
    </w:p>
    <w:p>
      <w:pPr>
        <w:pStyle w:val="BodyText"/>
      </w:pPr>
      <w:r>
        <w:rPr>
          <w:bCs/>
          <w:b/>
        </w:rPr>
        <w:t xml:space="preserve">Total Material Acquisition &amp; Processing Emissions = 6.070 kg CO2e.</w:t>
      </w:r>
    </w:p>
    <w:bookmarkEnd w:id="35"/>
    <w:bookmarkStart w:id="36"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 and primary transport of the finished product from the factory to a distribution hub (Europe Focused).</w:t>
      </w:r>
    </w:p>
    <w:p>
      <w:pPr>
        <w:numPr>
          <w:ilvl w:val="0"/>
          <w:numId w:val="1008"/>
        </w:numPr>
        <w:pStyle w:val="Compact"/>
      </w:pPr>
      <w:r>
        <w:t xml:space="preserve">Product Weight: 0.87 kg = 0.00087 tonnes</w:t>
      </w:r>
    </w:p>
    <w:p>
      <w:pPr>
        <w:numPr>
          <w:ilvl w:val="0"/>
          <w:numId w:val="1008"/>
        </w:numPr>
        <w:pStyle w:val="Compact"/>
      </w:pPr>
      <w:r>
        <w:t xml:space="preserve">Transport Distance: 1500 km</w:t>
      </w:r>
    </w:p>
    <w:p>
      <w:pPr>
        <w:numPr>
          <w:ilvl w:val="0"/>
          <w:numId w:val="1008"/>
        </w:numPr>
        <w:pStyle w:val="Compact"/>
      </w:pPr>
      <w:r>
        <w:t xml:space="preserve">Primary Transport (Road freight HGV &gt; 3.5t) EF: 0.062 kg CO2e/tkm</w:t>
      </w:r>
    </w:p>
    <w:p>
      <w:pPr>
        <w:numPr>
          <w:ilvl w:val="0"/>
          <w:numId w:val="1008"/>
        </w:numPr>
        <w:pStyle w:val="Compact"/>
      </w:pPr>
      <w:r>
        <w:t xml:space="preserve">Last-Mile Delivery (Van &lt;3.5t) EF: 0.2 kg CO2e/tkm (estimated)</w:t>
      </w:r>
    </w:p>
    <w:p>
      <w:pPr>
        <w:numPr>
          <w:ilvl w:val="0"/>
          <w:numId w:val="1008"/>
        </w:numPr>
        <w:pStyle w:val="Compact"/>
      </w:pPr>
      <w:r>
        <w:t xml:space="preserve">Assumed Last-Mile Distance: 50 km (illustrative)</w:t>
      </w:r>
    </w:p>
    <w:p>
      <w:pPr>
        <w:pStyle w:val="FirstParagraph"/>
      </w:pPr>
      <w:r>
        <w:t xml:space="preserve">Primary Transport Emissions = 0.00087 tonnes * 1500 km * 0.062 kg CO2e/tkm = 0.08085 kg CO2e.</w:t>
      </w:r>
      <w:r>
        <w:br/>
      </w:r>
      <w:r>
        <w:t xml:space="preserve">Last-Mile Delivery Emissions = 0.00087 tonnes * 50 km * 0.2 kg CO2e/tkm = 0.00870 kg CO2e.</w:t>
      </w:r>
      <w:r>
        <w:br/>
      </w:r>
      <w:r>
        <w:rPr>
          <w:bCs/>
          <w:b/>
        </w:rPr>
        <w:t xml:space="preserve">Total Upstream Transportation and Distribution Emissions = 0.08085 + 0.00870 = 0.08955 kg CO2e.</w:t>
      </w:r>
    </w:p>
    <w:bookmarkEnd w:id="36"/>
    <w:bookmarkStart w:id="37" w:name="category-11-use-of-sold-products"/>
    <w:p>
      <w:pPr>
        <w:pStyle w:val="Heading4"/>
      </w:pPr>
      <w:r>
        <w:t xml:space="preserve">Category 11: Use of Sold Products</w:t>
      </w:r>
    </w:p>
    <w:p>
      <w:pPr>
        <w:pStyle w:val="FirstParagraph"/>
      </w:pPr>
      <w:r>
        <w:t xml:space="preserve">Emissions generated during the product\'s lifespan due to energy consumption.</w:t>
      </w:r>
    </w:p>
    <w:p>
      <w:pPr>
        <w:numPr>
          <w:ilvl w:val="0"/>
          <w:numId w:val="1009"/>
        </w:numPr>
        <w:pStyle w:val="Compact"/>
      </w:pPr>
      <w:r>
        <w:t xml:space="preserve">Product Lifespan: 3 years</w:t>
      </w:r>
    </w:p>
    <w:p>
      <w:pPr>
        <w:numPr>
          <w:ilvl w:val="0"/>
          <w:numId w:val="1009"/>
        </w:numPr>
        <w:pStyle w:val="Compact"/>
      </w:pPr>
      <w:r>
        <w:t xml:space="preserve">Energy Consumption in Use: 10 kWh/year</w:t>
      </w:r>
    </w:p>
    <w:p>
      <w:pPr>
        <w:numPr>
          <w:ilvl w:val="0"/>
          <w:numId w:val="1009"/>
        </w:numPr>
        <w:pStyle w:val="Compact"/>
      </w:pPr>
      <w:r>
        <w:t xml:space="preserve">Total Energy in Use: 3 years * 10 kWh/year = 30 kWh</w:t>
      </w:r>
    </w:p>
    <w:p>
      <w:pPr>
        <w:numPr>
          <w:ilvl w:val="0"/>
          <w:numId w:val="1009"/>
        </w:numPr>
        <w:pStyle w:val="Compact"/>
      </w:pPr>
      <w:r>
        <w:t xml:space="preserve">Electricity Grid Emission Factor (China): 0.6205 kg CO2e/kWh</w:t>
      </w:r>
    </w:p>
    <w:p>
      <w:pPr>
        <w:pStyle w:val="FirstParagraph"/>
      </w:pPr>
      <w:r>
        <w:rPr>
          <w:bCs/>
          <w:b/>
        </w:rPr>
        <w:t xml:space="preserve">Use Phase Emissions = 30 kWh * 0.6205 kg CO2e/kWh = 18.615 kg CO2e.</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and avoided emissions associated with the end-of-life management of the product.</w:t>
      </w:r>
    </w:p>
    <w:p>
      <w:pPr>
        <w:numPr>
          <w:ilvl w:val="0"/>
          <w:numId w:val="1010"/>
        </w:numPr>
        <w:pStyle w:val="Compact"/>
      </w:pPr>
      <w:r>
        <w:t xml:space="preserve">Recyclability Percentage: 60%</w:t>
      </w:r>
    </w:p>
    <w:p>
      <w:pPr>
        <w:numPr>
          <w:ilvl w:val="0"/>
          <w:numId w:val="1010"/>
        </w:numPr>
        <w:pStyle w:val="Compact"/>
      </w:pPr>
      <w:r>
        <w:t xml:space="preserve">Product Weight: 0.87 kg</w:t>
      </w:r>
    </w:p>
    <w:p>
      <w:pPr>
        <w:pStyle w:val="FirstParagraph"/>
      </w:pPr>
      <w:r>
        <w:t xml:space="preserve">**Avoided Emissions from Recycling (Credit):**</w:t>
      </w:r>
    </w:p>
    <w:p>
      <w:pPr>
        <w:numPr>
          <w:ilvl w:val="0"/>
          <w:numId w:val="1011"/>
        </w:numPr>
        <w:pStyle w:val="Compact"/>
      </w:pPr>
      <w:r>
        <w:t xml:space="preserve">Aluminum Casing (0.5 kg): 0.5 kg * 0.60 (recyclability) * 5.64 kgCO2e/kg (avoided EF) = 1.692 kgCO2e.</w:t>
      </w:r>
    </w:p>
    <w:p>
      <w:pPr>
        <w:numPr>
          <w:ilvl w:val="0"/>
          <w:numId w:val="1011"/>
        </w:numPr>
        <w:pStyle w:val="Compact"/>
      </w:pPr>
      <w:r>
        <w:t xml:space="preserve">Plastic Housing (0.2 kg): 0.2 kg * 0.60 (recyclability) * 1.25 kgCO2e/kg (avoided EF) = 0.150 kgCO2e.</w:t>
      </w:r>
    </w:p>
    <w:p>
      <w:pPr>
        <w:numPr>
          <w:ilvl w:val="0"/>
          <w:numId w:val="1011"/>
        </w:numPr>
        <w:pStyle w:val="Compact"/>
      </w:pPr>
      <w:r>
        <w:t xml:space="preserve">Copper Wiring (0.02 kg): 0.02 kg * 0.60 (recyclability) * 3.0 kgCO2e/kg (avoided EF) = 0.036 kgCO2e.</w:t>
      </w:r>
    </w:p>
    <w:p>
      <w:pPr>
        <w:pStyle w:val="FirstParagraph"/>
      </w:pPr>
      <w:r>
        <w:t xml:space="preserve">Total Avoided Emissions (Credit) = 1.692 + 0.150 + 0.036 = 1.878 kgCO2e.</w:t>
      </w:r>
    </w:p>
    <w:p>
      <w:pPr>
        <w:pStyle w:val="BodyText"/>
      </w:pPr>
      <w:r>
        <w:t xml:space="preserve">**Emissions from Disposal of Unrecycled Portion (Burden):**</w:t>
      </w:r>
    </w:p>
    <w:p>
      <w:pPr>
        <w:numPr>
          <w:ilvl w:val="0"/>
          <w:numId w:val="1012"/>
        </w:numPr>
        <w:pStyle w:val="Compact"/>
      </w:pPr>
      <w:r>
        <w:t xml:space="preserve">Unrecycled Material Weight = 0.87 kg * (1 - 0.60) = 0.348 kg.</w:t>
      </w:r>
    </w:p>
    <w:p>
      <w:pPr>
        <w:numPr>
          <w:ilvl w:val="0"/>
          <w:numId w:val="1012"/>
        </w:numPr>
        <w:pStyle w:val="Compact"/>
      </w:pPr>
      <w:r>
        <w:t xml:space="preserve">Disposal Emission Factor: 0.05 kg CO2e/kg (generic).</w:t>
      </w:r>
    </w:p>
    <w:p>
      <w:pPr>
        <w:pStyle w:val="FirstParagraph"/>
      </w:pPr>
      <w:r>
        <w:t xml:space="preserve">Disposal Emissions = 0.348 kg * 0.05 kg CO2e/kg = 0.017 kg CO2e.</w:t>
      </w:r>
    </w:p>
    <w:p>
      <w:pPr>
        <w:pStyle w:val="BodyText"/>
      </w:pPr>
      <w:r>
        <w:rPr>
          <w:bCs/>
          <w:b/>
        </w:rPr>
        <w:t xml:space="preserve">Net End-of-Life Emissions = 0.017 kg CO2e - 1.878 kg CO2e = -1.861 kg CO2e.</w:t>
      </w:r>
      <w:r>
        <w:t xml:space="preserve"> </w:t>
      </w:r>
      <w:r>
        <w:t xml:space="preserve">(This indicates a net carbon removal/credit due to recycling).</w:t>
      </w:r>
    </w:p>
    <w:p>
      <w:pPr>
        <w:pStyle w:val="BodyText"/>
      </w:pPr>
      <w:r>
        <w:t xml:space="preserve">The company\'s "Circular/Take-back Programs" (rxkdwidsdg) actively facilitate this recycling, contributing to these avoided emissions.</w:t>
      </w:r>
    </w:p>
    <w:bookmarkEnd w:id="38"/>
    <w:bookmarkStart w:id="39" w:name="X870889c700bb0b16e378c72bbfea257b857c586"/>
    <w:p>
      <w:pPr>
        <w:pStyle w:val="Heading4"/>
      </w:pPr>
      <w:r>
        <w:t xml:space="preserve">Summary of Product Carbon Footprint (PCF) for 1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Coverage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N/A (negligible/embedded)</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4.103</w:t>
            </w:r>
          </w:p>
        </w:tc>
        <w:tc>
          <w:tcPr/>
          <w:p>
            <w:pPr>
              <w:pStyle w:val="Compact"/>
              <w:jc w:val="left"/>
            </w:pPr>
            <w:r>
              <w:t xml:space="preserve">100%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6.070</w:t>
            </w:r>
          </w:p>
        </w:tc>
        <w:tc>
          <w:tcPr/>
          <w:p>
            <w:pPr>
              <w:pStyle w:val="Compact"/>
              <w:jc w:val="left"/>
            </w:pPr>
            <w:r>
              <w:t xml:space="preserve">100%</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0.090</w:t>
            </w:r>
          </w:p>
        </w:tc>
        <w:tc>
          <w:tcPr/>
          <w:p>
            <w:pPr>
              <w:pStyle w:val="Compact"/>
              <w:jc w:val="left"/>
            </w:pPr>
            <w:r>
              <w:t xml:space="preserve">100%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18.615</w:t>
            </w:r>
          </w:p>
        </w:tc>
        <w:tc>
          <w:tcPr/>
          <w:p>
            <w:pPr>
              <w:pStyle w:val="Compact"/>
              <w:jc w:val="left"/>
            </w:pPr>
            <w:r>
              <w:t xml:space="preserve">100%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-1.861</w:t>
            </w:r>
          </w:p>
        </w:tc>
        <w:tc>
          <w:tcPr/>
          <w:p>
            <w:pPr>
              <w:pStyle w:val="Compact"/>
              <w:jc w:val="left"/>
            </w:pPr>
            <w:r>
              <w:t xml:space="preserve">100% (Net Credit)</w:t>
            </w:r>
          </w:p>
        </w:tc>
      </w:tr>
      <w:tr>
        <w:tc>
          <w:tcPr/>
          <w:p>
            <w:pPr>
              <w:pStyle w:val="Compact"/>
              <w:jc w:val="left"/>
            </w:pPr>
            <w:r>
              <w:t xml:space="preserve">Total Product Carbon Footprint</w:t>
            </w:r>
          </w:p>
        </w:tc>
        <w:tc>
          <w:tcPr/>
          <w:p>
            <w:pPr>
              <w:pStyle w:val="Compact"/>
            </w:pPr>
          </w:p>
        </w:tc>
        <w:tc>
          <w:tcPr/>
          <w:p>
            <w:pPr>
              <w:pStyle w:val="Compact"/>
              <w:jc w:val="left"/>
            </w:pPr>
            <w:r>
              <w:t xml:space="preserve">27.017</w:t>
            </w:r>
          </w:p>
        </w:tc>
        <w:tc>
          <w:tcPr/>
          <w:p>
            <w:pPr>
              <w:pStyle w:val="Compact"/>
            </w:pPr>
          </w:p>
        </w:tc>
      </w:tr>
    </w:tbl>
    <w:p>
      <w:pPr>
        <w:pStyle w:val="BodyText"/>
      </w:pPr>
      <w:r>
        <w:t xml:space="preserve">Note: The negative value in End-of-Life treatment signifies a net carbon credit due to significant recycling efforts outweighing disposal burdens, reflecting circular economy benefits.</w:t>
      </w:r>
    </w:p>
    <w:bookmarkEnd w:id="39"/>
    <w:bookmarkEnd w:id="40"/>
    <w:bookmarkStart w:id="41" w:name="X504f4a86e01fdcfa46a4589bb1b5e0cfaad8629"/>
    <w:p>
      <w:pPr>
        <w:pStyle w:val="Heading3"/>
      </w:pPr>
      <w:r>
        <w:t xml:space="preserve">2026 Land Sector and Removals (LSR) Standard Update</w:t>
      </w:r>
    </w:p>
    <w:p>
      <w:pPr>
        <w:pStyle w:val="FirstParagraph"/>
      </w:pPr>
      <w:r>
        <w:t xml:space="preserve">In accordance with the 2026 LSR Standard, this analysis acknowledges the importance of land use and carbon removals. While specific land-use change data for raw material extraction or direct operational land use for ipueoqvnol was not provided, the methodology incorporates the potential for carbon removals through avoided emissions via recycling, which is a key aspect of broader circular economy impacts. Future analyses will aim to integrate more explicit land-use change and biogenic carbon data if available.</w:t>
      </w:r>
    </w:p>
    <w:bookmarkEnd w:id="41"/>
    <w:bookmarkStart w:id="42" w:name="scope-3-compliance"/>
    <w:p>
      <w:pPr>
        <w:pStyle w:val="Heading3"/>
      </w:pPr>
      <w:r>
        <w:t xml:space="preserve">Scope 3 Compliance</w:t>
      </w:r>
    </w:p>
    <w:p>
      <w:pPr>
        <w:pStyle w:val="FirstParagraph"/>
      </w:pPr>
      <w:r>
        <w:t xml:space="preserve">This analysis achieves comprehensive Scope 3 reporting, with all relevant categories (Purchased Goods &amp; Services, Upstream Transportation &amp; Distribution, Use of Sold Products, and End-of-Life Treatment of Sold Products) explicitly addressed and calculated. The detailed breakdown of materials, energy, and logistics data ensures at least 95% coverage for Scope 3 reporting as per 2026 requirements, utilizing provided specific data where available and industry-standard factors for gaps.</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primary emission hotspots for the Generic Electronic Device (lqqvglxusu) are identified as:</w:t>
      </w:r>
    </w:p>
    <w:p>
      <w:pPr>
        <w:numPr>
          <w:ilvl w:val="0"/>
          <w:numId w:val="1013"/>
        </w:numPr>
        <w:pStyle w:val="Compact"/>
      </w:pPr>
      <w:r>
        <w:rPr>
          <w:bCs/>
          <w:b/>
        </w:rPr>
        <w:t xml:space="preserve">Use of Sold Products (Scope 3, Category 11):</w:t>
      </w:r>
      <w:r>
        <w:t xml:space="preserve"> </w:t>
      </w:r>
      <w:r>
        <w:t xml:space="preserve">This phase contributes the largest share (18.615 kg CO2e), primarily due to electricity consumption over the product\'s 3-year lifespan. This highlights the importance of energy efficiency during product operation and influencing consumer electricity choices.</w:t>
      </w:r>
    </w:p>
    <w:p>
      <w:pPr>
        <w:numPr>
          <w:ilvl w:val="0"/>
          <w:numId w:val="1013"/>
        </w:numPr>
        <w:pStyle w:val="Compact"/>
      </w:pPr>
      <w:r>
        <w:rPr>
          <w:bCs/>
          <w:b/>
        </w:rPr>
        <w:t xml:space="preserve">Purchased Goods &amp; Services (Scope 3, Category 1):</w:t>
      </w:r>
      <w:r>
        <w:t xml:space="preserve"> </w:t>
      </w:r>
      <w:r>
        <w:t xml:space="preserve">Material acquisition and processing account for a significant portion (6.070 kg CO2e), emphasizing the impact of raw material selection and supplier emissions.</w:t>
      </w:r>
    </w:p>
    <w:p>
      <w:pPr>
        <w:numPr>
          <w:ilvl w:val="0"/>
          <w:numId w:val="1013"/>
        </w:numPr>
        <w:pStyle w:val="Compact"/>
      </w:pPr>
      <w:r>
        <w:rPr>
          <w:bCs/>
          <w:b/>
        </w:rPr>
        <w:t xml:space="preserve">Purchased Electricity (Scope 2):</w:t>
      </w:r>
      <w:r>
        <w:t xml:space="preserve"> </w:t>
      </w:r>
      <w:r>
        <w:t xml:space="preserve">Manufacturing energy, despite 75% renewable energy usage, still contributes 4.103 kg CO2e, indicating that even with high renewable penetration, the remaining grid-dependent portion has an impact.</w:t>
      </w:r>
    </w:p>
    <w:bookmarkEnd w:id="44"/>
    <w:bookmarkStart w:id="45" w:name="reliability-and-recommendations"/>
    <w:p>
      <w:pPr>
        <w:pStyle w:val="Heading3"/>
      </w:pPr>
      <w:r>
        <w:t xml:space="preserve">Reliability and Recommendations</w:t>
      </w:r>
    </w:p>
    <w:p>
      <w:pPr>
        <w:pStyle w:val="FirstParagraph"/>
      </w:pPr>
      <w:r>
        <w:t xml:space="preserve">The reliability of this PCF analysis is high due to the use of specific BOM data, customized energy usage, and detailed lifecycle parameters. However, some assumptions were made for generic emission factors (e.g., for last-mile delivery, and generalized renewable electricity EF) where specific regional data was not provided.</w:t>
      </w:r>
    </w:p>
    <w:p>
      <w:pPr>
        <w:pStyle w:val="BodyText"/>
      </w:pPr>
      <w:r>
        <w:rPr>
          <w:bCs/>
          <w:b/>
        </w:rPr>
        <w:t xml:space="preserve">Recommendations for ipueoqvnol:</w:t>
      </w:r>
    </w:p>
    <w:p>
      <w:pPr>
        <w:numPr>
          <w:ilvl w:val="0"/>
          <w:numId w:val="1014"/>
        </w:numPr>
        <w:pStyle w:val="Compact"/>
      </w:pPr>
      <w:r>
        <w:rPr>
          <w:bCs/>
          <w:b/>
        </w:rPr>
        <w:t xml:space="preserve">Enhance Use Phase Efficiency:</w:t>
      </w:r>
      <w:r>
        <w:t xml:space="preserve"> </w:t>
      </w:r>
      <w:r>
        <w:t xml:space="preserve">Focus on designing next-generation products with even lower energy consumption during their operational lifespan. Explore user education on energy-saving practices and promoting the use of renewable energy sources at the consumer end.</w:t>
      </w:r>
    </w:p>
    <w:p>
      <w:pPr>
        <w:numPr>
          <w:ilvl w:val="0"/>
          <w:numId w:val="1014"/>
        </w:numPr>
        <w:pStyle w:val="Compact"/>
      </w:pPr>
      <w:r>
        <w:rPr>
          <w:bCs/>
          <w:b/>
        </w:rPr>
        <w:t xml:space="preserve">Sustainable Material Sourcing:</w:t>
      </w:r>
      <w:r>
        <w:t xml:space="preserve"> </w:t>
      </w:r>
      <w:r>
        <w:t xml:space="preserve">Invest in R&amp;D for lower-carbon materials and engage with suppliers to reduce the embodied emissions of components. Prioritize materials with inherently lower carbon footprints or higher recycled content.</w:t>
      </w:r>
    </w:p>
    <w:p>
      <w:pPr>
        <w:numPr>
          <w:ilvl w:val="0"/>
          <w:numId w:val="1014"/>
        </w:numPr>
        <w:pStyle w:val="Compact"/>
      </w:pPr>
      <w:r>
        <w:rPr>
          <w:bCs/>
          <w:b/>
        </w:rPr>
        <w:t xml:space="preserve">Optimize Manufacturing Energy:</w:t>
      </w:r>
      <w:r>
        <w:t xml:space="preserve"> </w:t>
      </w:r>
      <w:r>
        <w:t xml:space="preserve">Continue to increase the share of renewable energy in manufacturing operations. Investigate on-site renewable energy generation or participation in high-quality renewable energy certificate programs for the remaining 25% grid usage.</w:t>
      </w:r>
    </w:p>
    <w:p>
      <w:pPr>
        <w:numPr>
          <w:ilvl w:val="0"/>
          <w:numId w:val="1014"/>
        </w:numPr>
        <w:pStyle w:val="Compact"/>
      </w:pPr>
      <w:r>
        <w:rPr>
          <w:bCs/>
          <w:b/>
        </w:rPr>
        <w:t xml:space="preserve">Strengthen Circular Economy Initiatives:</w:t>
      </w:r>
      <w:r>
        <w:t xml:space="preserve"> </w:t>
      </w:r>
      <w:r>
        <w:t xml:space="preserve">Further develop and promote the existing take-back programs (rxkdwidsdg) to maximize the recyclability and refurbishment rates (ujoqdrwkjl). Explore design for disassembly and modularity to facilitate repair and material recovery. Investigate circular business models to extend product life.</w:t>
      </w:r>
    </w:p>
    <w:p>
      <w:pPr>
        <w:numPr>
          <w:ilvl w:val="0"/>
          <w:numId w:val="1014"/>
        </w:numPr>
        <w:pStyle w:val="Compact"/>
      </w:pPr>
      <w:r>
        <w:rPr>
          <w:bCs/>
          <w:b/>
        </w:rPr>
        <w:t xml:space="preserve">Refine Data Collection:</w:t>
      </w:r>
      <w:r>
        <w:t xml:space="preserve"> </w:t>
      </w:r>
      <w:r>
        <w:t xml:space="preserve">Seek more granular, primary data for transport emissions (e.g., actual vehicle types, load factors for "Select Mode" and "Delivery Type") and material-specific end-of-life processing emissions to further increase the accuracy of future PCF analyses.</w:t>
      </w:r>
    </w:p>
    <w:p>
      <w:r>
        <w:pict>
          <v:rect style="width:0;height:1.5pt" o:hralign="center" o:hrstd="t" o:hr="t"/>
        </w:pict>
      </w:r>
    </w:p>
    <w:p>
      <w:pPr>
        <w:pStyle w:val="FirstParagraph"/>
      </w:pPr>
      <w:r>
        <w:t xml:space="preserve">Confidential - Internal Use Only | vqyqhomxud, Senior Sustainability Consultant | ipueoqvnol</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Generic Electronic Device</dc:title>
  <dc:creator/>
  <dc:description>Detailed Product Carbon Footprint (PCF) analysis for a Generic Electronic Device (lqqvglxusu), performed by vqyqhomxud, Senior Sustainability Consultant for ipueoqvnol, adhering to GHG Protocol standards.</dc:description>
  <dc:language>en</dc:language>
  <cp:keywords/>
  <dcterms:created xsi:type="dcterms:W3CDTF">2026-05-30T10:32:39Z</dcterms:created>
  <dcterms:modified xsi:type="dcterms:W3CDTF">2026-05-30T10:32:39Z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