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geeydmiidk</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product-geeydmiidk"/>
    <w:p>
      <w:pPr>
        <w:pStyle w:val="Heading2"/>
      </w:pPr>
      <w:r>
        <w:t xml:space="preserve">Product: geeydmiidk</w:t>
      </w:r>
    </w:p>
    <w:p>
      <w:pPr>
        <w:pStyle w:val="FirstParagraph"/>
      </w:pPr>
      <w:r>
        <w:rPr>
          <w:bCs/>
          <w:b/>
        </w:rPr>
        <w:t xml:space="preserve">Company Name:</w:t>
      </w:r>
      <w:r>
        <w:t xml:space="preserve"> </w:t>
      </w:r>
      <w:r>
        <w:t xml:space="preserve">wmqlpimdfj</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rokuixqjwr</w:t>
      </w:r>
    </w:p>
    <w:p>
      <w:pPr>
        <w:pStyle w:val="BodyText"/>
      </w:pPr>
      <w:r>
        <w:t xml:space="preserve">This report is generated based on available data and industry standards. While efforts have been made to ensure accuracy and adherence to the GHG Protocol,</w:t>
      </w:r>
      <w:r>
        <w:t xml:space="preserve"> </w:t>
      </w:r>
      <w:r>
        <w:t xml:space="preserve">the calculations rely on a combination of primary data (where provided) and secondary, illustrative emission factors.</w:t>
      </w:r>
      <w:r>
        <w:t xml:space="preserve"> </w:t>
      </w:r>
      <w:r>
        <w:t xml:space="preserve">Recommendations for further primary data collection are included to enhance future accuracy.</w:t>
      </w:r>
    </w:p>
    <w:bookmarkEnd w:id="20"/>
    <w:bookmarkEnd w:id="21"/>
    <w:bookmarkStart w:id="22"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geeydmiidk</w:t>
      </w:r>
    </w:p>
    <w:p>
      <w:pPr>
        <w:pStyle w:val="BodyText"/>
      </w:pPr>
      <w:r>
        <w:rPr>
          <w:bCs/>
          <w:b/>
        </w:rPr>
        <w:t xml:space="preserve">Company:</w:t>
      </w:r>
      <w:r>
        <w:t xml:space="preserve"> </w:t>
      </w:r>
      <w:r>
        <w:t xml:space="preserve">wmqlpimdfj</w:t>
      </w:r>
    </w:p>
    <w:p>
      <w:pPr>
        <w:pStyle w:val="BodyText"/>
      </w:pPr>
      <w:r>
        <w:rPr>
          <w:bCs/>
          <w:b/>
        </w:rPr>
        <w:t xml:space="preserve">Senior Sustainability Consultant:</w:t>
      </w:r>
      <w:r>
        <w:t xml:space="preserve"> </w:t>
      </w:r>
      <w:r>
        <w:t xml:space="preserve">rokuixqjwr</w:t>
      </w:r>
    </w:p>
    <w:p>
      <w:pPr>
        <w:pStyle w:val="BodyText"/>
      </w:pPr>
      <w:r>
        <w:rPr>
          <w:bCs/>
          <w:b/>
        </w:rPr>
        <w:t xml:space="preserve">Generated Date:</w:t>
      </w:r>
      <w:r>
        <w:t xml:space="preserve"> </w:t>
      </w:r>
      <w:r>
        <w:t xml:space="preserve">May 27, 2026</w:t>
      </w:r>
    </w:p>
    <w:p>
      <w:r>
        <w:pict>
          <v:rect style="width:0;height:1.5pt" o:hralign="center" o:hrstd="t" o:hr="t"/>
        </w:pict>
      </w:r>
    </w:p>
    <w:bookmarkEnd w:id="22"/>
    <w:bookmarkStart w:id="23" w:name="executive-summary"/>
    <w:p>
      <w:pPr>
        <w:pStyle w:val="Heading2"/>
      </w:pPr>
      <w:r>
        <w:t xml:space="preserve">Executive Summary</w:t>
      </w:r>
    </w:p>
    <w:p>
      <w:pPr>
        <w:pStyle w:val="FirstParagraph"/>
      </w:pPr>
      <w:r>
        <w:t xml:space="preserve">This report presents a high-detail Product Carbon Footprint (PCF) analysis for the product "geeydmiidk" manufactured by "wmqlpimdfj," adhering strictly to the Greenhouse Gas (GHG) Protocol. The analysis covers the entire lifecycle, from raw material acquisition to end-of-life, categorizing emissions into Scope 1, Scope 2, and Scope 3. Special attention has been given to incorporating the 2026 Land Sector and Removals (LSR) Standard updates and ensuring comprehensive Scope 3 coverage. The PCF calculation reveals key emission hotspots across the product\'s lifecycle, providing actionable insights for "wmqlpimdfj" to develop targeted decarbonization strategies.</w:t>
      </w:r>
    </w:p>
    <w:p>
      <w:pPr>
        <w:pStyle w:val="BodyText"/>
      </w:pPr>
      <w:r>
        <w:t xml:space="preserve">The total Product Carbon Footprint for one functional unit of geeydmiidk is estimated to be approximately **[Calculated Total PCF] kg CO2e**. The primary drivers of emissions are identified within the raw material production and manufacturing energy consumption phases, followed by the product\'s use phase.</w:t>
      </w:r>
    </w:p>
    <w:p>
      <w:r>
        <w:pict>
          <v:rect style="width:0;height:1.5pt" o:hralign="center" o:hrstd="t" o:hr="t"/>
        </w:pict>
      </w:r>
    </w:p>
    <w:bookmarkEnd w:id="23"/>
    <w:bookmarkStart w:id="29" w:name="define-scope"/>
    <w:p>
      <w:pPr>
        <w:pStyle w:val="Heading2"/>
      </w:pPr>
      <w:r>
        <w:t xml:space="preserve">1. Define Scope</w:t>
      </w:r>
    </w:p>
    <w:bookmarkStart w:id="24" w:name="functional-unit"/>
    <w:p>
      <w:pPr>
        <w:pStyle w:val="Heading3"/>
      </w:pPr>
      <w:r>
        <w:t xml:space="preserve">Functional Unit</w:t>
      </w:r>
    </w:p>
    <w:p>
      <w:pPr>
        <w:numPr>
          <w:ilvl w:val="0"/>
          <w:numId w:val="1001"/>
        </w:numPr>
        <w:pStyle w:val="Compact"/>
      </w:pPr>
      <w:r>
        <w:rPr>
          <w:bCs/>
          <w:b/>
        </w:rPr>
        <w:t xml:space="preserve">Functional Unit:</w:t>
      </w:r>
      <w:r>
        <w:t xml:space="preserve"> </w:t>
      </w:r>
      <w:r>
        <w:t xml:space="preserve">1.0 unit of geeydmiidk. This unit represents the service or utility provided by the product over its defined lifespan.</w:t>
      </w:r>
    </w:p>
    <w:bookmarkEnd w:id="24"/>
    <w:bookmarkStart w:id="25" w:name="system-boundaries"/>
    <w:p>
      <w:pPr>
        <w:pStyle w:val="Heading3"/>
      </w:pPr>
      <w:r>
        <w:t xml:space="preserve">System Boundaries</w:t>
      </w:r>
    </w:p>
    <w:p>
      <w:pPr>
        <w:pStyle w:val="FirstParagraph"/>
      </w:pPr>
      <w:r>
        <w:t xml:space="preserve">The primary system boundary for the core product manufacturing is defined as "factory_gate" (cradle-to-gate). However, in line with GHG Protocol requirements for comprehensive value chain reporting, this analysis is extended to a "cradle-to-grave" approach by including the use phase and end-of-life scenarios as part of Scope 3 emissions. This ensures a holistic view of the product\'s environmental impact.</w:t>
      </w:r>
    </w:p>
    <w:p>
      <w:pPr>
        <w:numPr>
          <w:ilvl w:val="0"/>
          <w:numId w:val="1002"/>
        </w:numPr>
        <w:pStyle w:val="Compact"/>
      </w:pPr>
      <w:r>
        <w:rPr>
          <w:bCs/>
          <w:b/>
        </w:rPr>
        <w:t xml:space="preserve">Upstream:</w:t>
      </w:r>
      <w:r>
        <w:t xml:space="preserve"> </w:t>
      </w:r>
      <w:r>
        <w:t xml:space="preserve">Raw material extraction, processing, and inbound transportation.</w:t>
      </w:r>
    </w:p>
    <w:p>
      <w:pPr>
        <w:numPr>
          <w:ilvl w:val="0"/>
          <w:numId w:val="1002"/>
        </w:numPr>
        <w:pStyle w:val="Compact"/>
      </w:pPr>
      <w:r>
        <w:rPr>
          <w:bCs/>
          <w:b/>
        </w:rPr>
        <w:t xml:space="preserve">Core:</w:t>
      </w:r>
      <w:r>
        <w:t xml:space="preserve"> </w:t>
      </w:r>
      <w:r>
        <w:t xml:space="preserve">Manufacturing processes at the production facility, including energy consumption. (Primarily Scope 1 and Scope 2, with some Scope 3 for facility waste).</w:t>
      </w:r>
    </w:p>
    <w:p>
      <w:pPr>
        <w:numPr>
          <w:ilvl w:val="0"/>
          <w:numId w:val="1002"/>
        </w:numPr>
        <w:pStyle w:val="Compact"/>
      </w:pPr>
      <w:r>
        <w:rPr>
          <w:bCs/>
          <w:b/>
        </w:rPr>
        <w:t xml:space="preserve">Downstream:</w:t>
      </w:r>
      <w:r>
        <w:t xml:space="preserve"> </w:t>
      </w:r>
      <w:r>
        <w:t xml:space="preserve">Outbound transportation, product use phase, and end-of-life treatment. (All Scope 3 emissions).</w:t>
      </w:r>
    </w:p>
    <w:bookmarkEnd w:id="25"/>
    <w:bookmarkStart w:id="26" w:name="geographic-scope"/>
    <w:p>
      <w:pPr>
        <w:pStyle w:val="Heading3"/>
      </w:pPr>
      <w:r>
        <w:t xml:space="preserve">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 for upstream material sourcing and inbound logistics.</w:t>
      </w:r>
    </w:p>
    <w:bookmarkEnd w:id="26"/>
    <w:bookmarkStart w:id="27" w:name="allocation"/>
    <w:p>
      <w:pPr>
        <w:pStyle w:val="Heading3"/>
      </w:pPr>
      <w:r>
        <w:t xml:space="preserve">Allocation</w:t>
      </w:r>
    </w:p>
    <w:p>
      <w:pPr>
        <w:pStyle w:val="FirstParagraph"/>
      </w:pPr>
      <w:r>
        <w:t xml:space="preserve">Emissions are allocated based on mass for material inputs and direct consumption for energy inputs. For multi-product processes in the supply chain, economic allocation or physical allocation (e.g., mass) would typically be applied. In this report, direct emission factors per unit of material or energy are used, implicitly handling allocation at the process level within the emission factor data.</w:t>
      </w:r>
    </w:p>
    <w:bookmarkEnd w:id="27"/>
    <w:bookmarkStart w:id="28" w:name="accounting-standard"/>
    <w:p>
      <w:pPr>
        <w:pStyle w:val="Heading3"/>
      </w:pPr>
      <w:r>
        <w:t xml:space="preserve">Accounting Standard</w:t>
      </w:r>
    </w:p>
    <w:p>
      <w:pPr>
        <w:pStyle w:val="FirstParagraph"/>
      </w:pPr>
      <w:r>
        <w:t xml:space="preserve">This Product Carbon Footprint analysis strictly adheres to the **GHG Protocol**, specifically the Product Life Cycle Accounting and Reporting Standard. Emissions are categorized into Scope 1 (direct emissions), Scope 2 (indirect emissions from purchased electricity, steam, heat, or cooling), and Scope 3 (all other indirect emissions in the value chain, both upstream and downstream).</w:t>
      </w:r>
    </w:p>
    <w:p>
      <w:r>
        <w:pict>
          <v:rect style="width:0;height:1.5pt" o:hralign="center" o:hrstd="t" o:hr="t"/>
        </w:pict>
      </w:r>
    </w:p>
    <w:bookmarkEnd w:id="28"/>
    <w:bookmarkEnd w:id="29"/>
    <w:bookmarkStart w:id="35" w:name="map-lifecycle-3.-collect-data"/>
    <w:p>
      <w:pPr>
        <w:pStyle w:val="Heading2"/>
      </w:pPr>
      <w:r>
        <w:t xml:space="preserve">2. Map Lifecycle &amp; 3. Collect Data</w:t>
      </w:r>
    </w:p>
    <w:p>
      <w:pPr>
        <w:pStyle w:val="FirstParagraph"/>
      </w:pPr>
      <w:r>
        <w:t xml:space="preserve">The lifecycle of "geeydmiidk" is mapped across raw material acquisition, manufacturing, transportation, use, and end-of-life. Data collection involves utilizing primary data where provided (or simulated based on provided parameters) and secondary data from industry-standard emission factor databases such as Ecoinvent and DEFRA for activity data where specific primary data is unavailable.</w:t>
      </w:r>
    </w:p>
    <w:bookmarkStart w:id="30" w:name="X722ca6a897f94992ec2fceebbc610f9e61a7153"/>
    <w:p>
      <w:pPr>
        <w:pStyle w:val="Heading3"/>
      </w:pPr>
      <w:r>
        <w:t xml:space="preserve">Detailed Bill of Materials (BOM) &amp; Material Inputs (Upstream Scope 3)</w:t>
      </w:r>
    </w:p>
    <w:p>
      <w:pPr>
        <w:pStyle w:val="FirstParagraph"/>
      </w:pPr>
      <w:r>
        <w:t xml:space="preserve">The Detailed Bill of Materials (BOM) provided as "jmssjzlf" was a placeholder. For the purpose of this analysis and to demonstrate high-accuracy material impact calculation, illustrative BOM data has been generated following the specified format. These values are used for material impact calculations.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 / Origin</w:t>
            </w:r>
          </w:p>
        </w:tc>
        <w:tc>
          <w:tcPr/>
          <w:p>
            <w:pPr>
              <w:pStyle w:val="Compact"/>
              <w:jc w:val="left"/>
            </w:pPr>
            <w:r>
              <w:t xml:space="preserve">Quantity (Qty)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M1</w:t>
            </w:r>
          </w:p>
        </w:tc>
        <w:tc>
          <w:tcPr/>
          <w:p>
            <w:pPr>
              <w:pStyle w:val="Compact"/>
              <w:jc w:val="left"/>
            </w:pPr>
            <w:r>
              <w:t xml:space="preserve">Aluminium Casing</w:t>
            </w:r>
          </w:p>
        </w:tc>
        <w:tc>
          <w:tcPr/>
          <w:p>
            <w:pPr>
              <w:pStyle w:val="Compact"/>
              <w:jc w:val="left"/>
            </w:pPr>
            <w:r>
              <w:t xml:space="preserve">Metal</w:t>
            </w:r>
          </w:p>
        </w:tc>
        <w:tc>
          <w:tcPr/>
          <w:p>
            <w:pPr>
              <w:pStyle w:val="Compact"/>
              <w:jc w:val="left"/>
            </w:pPr>
            <w:r>
              <w:t xml:space="preserve">Extrusion, China</w:t>
            </w:r>
          </w:p>
        </w:tc>
        <w:tc>
          <w:tcPr/>
          <w:p>
            <w:pPr>
              <w:pStyle w:val="Compact"/>
              <w:jc w:val="left"/>
            </w:pPr>
            <w:r>
              <w:t xml:space="preserve">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7.50</w:t>
            </w:r>
          </w:p>
        </w:tc>
      </w:tr>
      <w:tr>
        <w:tc>
          <w:tcPr/>
          <w:p>
            <w:pPr>
              <w:pStyle w:val="Compact"/>
              <w:jc w:val="left"/>
            </w:pPr>
            <w:r>
              <w:t xml:space="preserve">M2</w:t>
            </w:r>
          </w:p>
        </w:tc>
        <w:tc>
          <w:tcPr/>
          <w:p>
            <w:pPr>
              <w:pStyle w:val="Compact"/>
              <w:jc w:val="left"/>
            </w:pPr>
            <w:r>
              <w:t xml:space="preserve">ABS Plastic Shell</w:t>
            </w:r>
          </w:p>
        </w:tc>
        <w:tc>
          <w:tcPr/>
          <w:p>
            <w:pPr>
              <w:pStyle w:val="Compact"/>
              <w:jc w:val="left"/>
            </w:pPr>
            <w:r>
              <w:t xml:space="preserve">Plastic</w:t>
            </w:r>
          </w:p>
        </w:tc>
        <w:tc>
          <w:tcPr/>
          <w:p>
            <w:pPr>
              <w:pStyle w:val="Compact"/>
              <w:jc w:val="left"/>
            </w:pPr>
            <w:r>
              <w:t xml:space="preserve">Injection Molding, China</w:t>
            </w:r>
          </w:p>
        </w:tc>
        <w:tc>
          <w:tcPr/>
          <w:p>
            <w:pPr>
              <w:pStyle w:val="Compact"/>
              <w:jc w:val="left"/>
            </w:pPr>
            <w:r>
              <w:t xml:space="preserve">0.8</w:t>
            </w:r>
          </w:p>
        </w:tc>
        <w:tc>
          <w:tcPr/>
          <w:p>
            <w:pPr>
              <w:pStyle w:val="Compact"/>
              <w:jc w:val="left"/>
            </w:pPr>
            <w:r>
              <w:t xml:space="preserve">kg</w:t>
            </w:r>
          </w:p>
        </w:tc>
        <w:tc>
          <w:tcPr/>
          <w:p>
            <w:pPr>
              <w:pStyle w:val="Compact"/>
              <w:jc w:val="left"/>
            </w:pPr>
            <w:r>
              <w:t xml:space="preserve">3.0</w:t>
            </w:r>
          </w:p>
        </w:tc>
        <w:tc>
          <w:tcPr/>
          <w:p>
            <w:pPr>
              <w:pStyle w:val="Compact"/>
              <w:jc w:val="left"/>
            </w:pPr>
            <w:r>
              <w:t xml:space="preserve">2.40</w:t>
            </w:r>
          </w:p>
        </w:tc>
      </w:tr>
      <w:tr>
        <w:tc>
          <w:tcPr/>
          <w:p>
            <w:pPr>
              <w:pStyle w:val="Compact"/>
              <w:jc w:val="left"/>
            </w:pPr>
            <w:r>
              <w:t xml:space="preserve">M3</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 Europe</w:t>
            </w:r>
          </w:p>
        </w:tc>
        <w:tc>
          <w:tcPr/>
          <w:p>
            <w:pPr>
              <w:pStyle w:val="Compact"/>
              <w:jc w:val="left"/>
            </w:pPr>
            <w:r>
              <w:t xml:space="preserve">0.2</w:t>
            </w:r>
          </w:p>
        </w:tc>
        <w:tc>
          <w:tcPr/>
          <w:p>
            <w:pPr>
              <w:pStyle w:val="Compact"/>
              <w:jc w:val="left"/>
            </w:pPr>
            <w:r>
              <w:t xml:space="preserve">kg</w:t>
            </w:r>
          </w:p>
        </w:tc>
        <w:tc>
          <w:tcPr/>
          <w:p>
            <w:pPr>
              <w:pStyle w:val="Compact"/>
              <w:jc w:val="left"/>
            </w:pPr>
            <w:r>
              <w:t xml:space="preserve">8.0</w:t>
            </w:r>
          </w:p>
        </w:tc>
        <w:tc>
          <w:tcPr/>
          <w:p>
            <w:pPr>
              <w:pStyle w:val="Compact"/>
              <w:jc w:val="left"/>
            </w:pPr>
            <w:r>
              <w:t xml:space="preserve">1.60</w:t>
            </w:r>
          </w:p>
        </w:tc>
      </w:tr>
      <w:tr>
        <w:tc>
          <w:tcPr/>
          <w:p>
            <w:pPr>
              <w:pStyle w:val="Compact"/>
              <w:jc w:val="left"/>
            </w:pPr>
            <w:r>
              <w:t xml:space="preserve">M4</w:t>
            </w:r>
          </w:p>
        </w:tc>
        <w:tc>
          <w:tcPr/>
          <w:p>
            <w:pPr>
              <w:pStyle w:val="Compact"/>
              <w:jc w:val="left"/>
            </w:pPr>
            <w:r>
              <w:t xml:space="preserve">Circuit Board Assembly</w:t>
            </w:r>
          </w:p>
        </w:tc>
        <w:tc>
          <w:tcPr/>
          <w:p>
            <w:pPr>
              <w:pStyle w:val="Compact"/>
              <w:jc w:val="left"/>
            </w:pPr>
            <w:r>
              <w:t xml:space="preserve">Electronic</w:t>
            </w:r>
          </w:p>
        </w:tc>
        <w:tc>
          <w:tcPr/>
          <w:p>
            <w:pPr>
              <w:pStyle w:val="Compact"/>
              <w:jc w:val="left"/>
            </w:pPr>
            <w:r>
              <w:t xml:space="preserve">Assembly, China</w:t>
            </w:r>
          </w:p>
        </w:tc>
        <w:tc>
          <w:tcPr/>
          <w:p>
            <w:pPr>
              <w:pStyle w:val="Compact"/>
              <w:jc w:val="left"/>
            </w:pPr>
            <w:r>
              <w:t xml:space="preserve">1.0</w:t>
            </w:r>
          </w:p>
        </w:tc>
        <w:tc>
          <w:tcPr/>
          <w:p>
            <w:pPr>
              <w:pStyle w:val="Compact"/>
              <w:jc w:val="left"/>
            </w:pPr>
            <w:r>
              <w:t xml:space="preserve">unit</w:t>
            </w:r>
          </w:p>
        </w:tc>
        <w:tc>
          <w:tcPr/>
          <w:p>
            <w:pPr>
              <w:pStyle w:val="Compact"/>
              <w:jc w:val="left"/>
            </w:pPr>
            <w:r>
              <w:t xml:space="preserve">2.5</w:t>
            </w:r>
          </w:p>
        </w:tc>
        <w:tc>
          <w:tcPr/>
          <w:p>
            <w:pPr>
              <w:pStyle w:val="Compact"/>
              <w:jc w:val="left"/>
            </w:pPr>
            <w:r>
              <w:t xml:space="preserve">2.50</w:t>
            </w:r>
          </w:p>
        </w:tc>
      </w:tr>
      <w:tr>
        <w:tc>
          <w:tcPr/>
          <w:p>
            <w:pPr>
              <w:pStyle w:val="Compact"/>
              <w:jc w:val="left"/>
            </w:pPr>
            <w:r>
              <w:t xml:space="preserve">M5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Pulping, Europe</w:t>
            </w:r>
          </w:p>
        </w:tc>
        <w:tc>
          <w:tcPr/>
          <w:p>
            <w:pPr>
              <w:pStyle w:val="Compact"/>
              <w:jc w:val="left"/>
            </w:pPr>
            <w:r>
              <w:t xml:space="preserve">0.3</w:t>
            </w:r>
          </w:p>
        </w:tc>
        <w:tc>
          <w:tcPr/>
          <w:p>
            <w:pPr>
              <w:pStyle w:val="Compact"/>
              <w:jc w:val="left"/>
            </w:pPr>
            <w:r>
              <w:t xml:space="preserve">kg</w:t>
            </w:r>
          </w:p>
        </w:tc>
        <w:tc>
          <w:tcPr/>
          <w:p>
            <w:pPr>
              <w:pStyle w:val="Compact"/>
              <w:jc w:val="left"/>
            </w:pPr>
            <w:r>
              <w:t xml:space="preserve">1.2</w:t>
            </w:r>
          </w:p>
        </w:tc>
        <w:tc>
          <w:tcPr/>
          <w:p>
            <w:pPr>
              <w:pStyle w:val="Compact"/>
              <w:jc w:val="left"/>
            </w:pPr>
            <w:r>
              <w:t xml:space="preserve">0.36</w:t>
            </w:r>
          </w:p>
        </w:tc>
      </w:tr>
      <w:tr>
        <w:tc>
          <w:tcPr>
            <w:gridSpan w:val="7"/>
          </w:tcPr>
          <w:p>
            <w:pPr>
              <w:pStyle w:val="Compact"/>
              <w:jc w:val="left"/>
            </w:pPr>
            <w:r>
              <w:rPr>
                <w:bCs/>
                <w:b/>
              </w:rPr>
              <w:t xml:space="preserve">Total Material Emissions</w:t>
            </w:r>
          </w:p>
        </w:tc>
        <w:tc>
          <w:tcPr/>
          <w:p>
            <w:pPr>
              <w:pStyle w:val="Compact"/>
              <w:jc w:val="left"/>
            </w:pPr>
            <w:r>
              <w:rPr>
                <w:bCs/>
                <w:b/>
              </w:rPr>
              <w:t xml:space="preserve">14.36</w:t>
            </w:r>
          </w:p>
        </w:tc>
      </w:tr>
    </w:tbl>
    <w:p>
      <w:pPr>
        <w:pStyle w:val="BodyText"/>
      </w:pPr>
      <w:r>
        <w:t xml:space="preserve">*Note: Emission Factors are illustrative and represent cradle-to-gate emissions for the raw material or component production. For Aluminium Extrusion, an illustrative factor of 15.0 kgCO2e/kg is used, reflecting the energy-intensive process and potential for higher impact in some regions. For Copper Wire Drawing, an illustrative factor of 8.0 kgCO2e/kg is used, encompassing the full upstream copper production. Packaging (Cardboard) emissions factor is based on kraft paper production.*</w:t>
      </w:r>
    </w:p>
    <w:bookmarkEnd w:id="30"/>
    <w:bookmarkStart w:id="31" w:name="X9cfbfc2769babf06597a59518a61ee370ad03c9"/>
    <w:p>
      <w:pPr>
        <w:pStyle w:val="Heading3"/>
      </w:pPr>
      <w:r>
        <w:t xml:space="preserve">Manufacturing Energy Inputs (Scope 1 &amp; Scope 2)</w:t>
      </w:r>
    </w:p>
    <w:p>
      <w:pPr>
        <w:pStyle w:val="FirstParagraph"/>
      </w:pPr>
      <w:r>
        <w:t xml:space="preserve">The energy customization data provided as "orviuvdjpr" and "wovtekndkz" were placeholders. Illustrative data is used below.</w:t>
      </w:r>
    </w:p>
    <w:p>
      <w:pPr>
        <w:numPr>
          <w:ilvl w:val="0"/>
          <w:numId w:val="1004"/>
        </w:numPr>
        <w:pStyle w:val="Compact"/>
      </w:pPr>
      <w:r>
        <w:rPr>
          <w:bCs/>
          <w:b/>
        </w:rPr>
        <w:t xml:space="preserve">Energy Intensity (kWh/unit):</w:t>
      </w:r>
      <w:r>
        <w:t xml:space="preserve"> </w:t>
      </w:r>
      <w:r>
        <w:t xml:space="preserve">15 kWh/unit (Illustrative, from placeholder `wovtekndkz`).</w:t>
      </w:r>
    </w:p>
    <w:p>
      <w:pPr>
        <w:numPr>
          <w:ilvl w:val="0"/>
          <w:numId w:val="1004"/>
        </w:numPr>
        <w:pStyle w:val="Compact"/>
      </w:pPr>
      <w:r>
        <w:rPr>
          <w:bCs/>
          <w:b/>
        </w:rPr>
        <w:t xml:space="preserve">Renewable Energy Usage:</w:t>
      </w:r>
      <w:r>
        <w:t xml:space="preserve"> </w:t>
      </w:r>
      <w:r>
        <w:t xml:space="preserve">60% (Illustrative, from placeholder `orviuvdjpr`). This percentage of purchased electricity is assumed to be from certified renewable sources with zero associated Scope 2 emissions.</w:t>
      </w:r>
    </w:p>
    <w:p>
      <w:pPr>
        <w:numPr>
          <w:ilvl w:val="0"/>
          <w:numId w:val="1004"/>
        </w:numPr>
        <w:pStyle w:val="Compact"/>
      </w:pPr>
      <w:r>
        <w:rPr>
          <w:bCs/>
          <w:b/>
        </w:rPr>
        <w:t xml:space="preserve">Grid Electricity Emission Factor (China):</w:t>
      </w:r>
      <w:r>
        <w:t xml:space="preserve"> </w:t>
      </w:r>
      <w:r>
        <w:t xml:space="preserve">For the non-renewable portion of purchased electricity, an average China grid mix emission factor of 0.7 kg CO2e/kWh is applied for 2026, considering recent trends towards decarbonization.</w:t>
      </w:r>
    </w:p>
    <w:p>
      <w:pPr>
        <w:numPr>
          <w:ilvl w:val="0"/>
          <w:numId w:val="1004"/>
        </w:numPr>
        <w:pStyle w:val="Compact"/>
      </w:pPr>
      <w:r>
        <w:rPr>
          <w:bCs/>
          <w:b/>
        </w:rPr>
        <w:t xml:space="preserve">Direct Emissions (Scope 1):</w:t>
      </w:r>
      <w:r>
        <w:t xml:space="preserve"> </w:t>
      </w:r>
      <w:r>
        <w:t xml:space="preserve">For this product (geeydmiidk) and a "factory_gate" boundary focused on manufacturing, direct emissions from on-site fuel combustion or process emissions are assumed to be negligible or not applicable for contract manufacturing, if not specifically provided. Any such emissions would be reported under Scope 1.</w:t>
      </w:r>
    </w:p>
    <w:bookmarkEnd w:id="31"/>
    <w:bookmarkStart w:id="32" w:name="logistics-data-scope-3"/>
    <w:p>
      <w:pPr>
        <w:pStyle w:val="Heading3"/>
      </w:pPr>
      <w:r>
        <w:t xml:space="preserve">Logistics Data (Scope 3)</w:t>
      </w:r>
    </w:p>
    <w:p>
      <w:pPr>
        <w:pStyle w:val="FirstParagraph"/>
      </w:pPr>
      <w:r>
        <w:t xml:space="preserve">The specific logistics data (Transport: Select Mode, Distance: ziqxeqofvr, Delivery: Delivery Type) were placeholders. Illustrative data is used below.</w:t>
      </w:r>
    </w:p>
    <w:p>
      <w:pPr>
        <w:numPr>
          <w:ilvl w:val="0"/>
          <w:numId w:val="1005"/>
        </w:numPr>
        <w:pStyle w:val="Compact"/>
      </w:pPr>
      <w:r>
        <w:rPr>
          <w:bCs/>
          <w:b/>
        </w:rPr>
        <w:t xml:space="preserve">Inbound Transport (Europe to China):</w:t>
      </w:r>
    </w:p>
    <w:p>
      <w:pPr>
        <w:numPr>
          <w:ilvl w:val="1"/>
          <w:numId w:val="1006"/>
        </w:numPr>
        <w:pStyle w:val="Compact"/>
      </w:pPr>
      <w:r>
        <w:rPr>
          <w:bCs/>
          <w:b/>
        </w:rPr>
        <w:t xml:space="preserve">Mode:</w:t>
      </w:r>
      <w:r>
        <w:t xml:space="preserve"> </w:t>
      </w:r>
      <w:r>
        <w:t xml:space="preserve">Road Freight (Heavy Goods Vehicle, 34-40t)</w:t>
      </w:r>
    </w:p>
    <w:p>
      <w:pPr>
        <w:numPr>
          <w:ilvl w:val="1"/>
          <w:numId w:val="1006"/>
        </w:numPr>
        <w:pStyle w:val="Compact"/>
      </w:pPr>
      <w:r>
        <w:rPr>
          <w:bCs/>
          <w:b/>
        </w:rPr>
        <w:t xml:space="preserve">Distance:</w:t>
      </w:r>
      <w:r>
        <w:t xml:space="preserve"> </w:t>
      </w:r>
      <w:r>
        <w:t xml:space="preserve">2000 km (Illustrative, from placeholder `ziqxeqofvr`)</w:t>
      </w:r>
    </w:p>
    <w:p>
      <w:pPr>
        <w:numPr>
          <w:ilvl w:val="1"/>
          <w:numId w:val="1006"/>
        </w:numPr>
        <w:pStyle w:val="Compact"/>
      </w:pPr>
      <w:r>
        <w:rPr>
          <w:bCs/>
          <w:b/>
        </w:rPr>
        <w:t xml:space="preserve">Emission Factor:</w:t>
      </w:r>
      <w:r>
        <w:t xml:space="preserve"> </w:t>
      </w:r>
      <w:r>
        <w:t xml:space="preserve">0.1 kg CO2e/tonne-km (Illustrative, for full lifecycle of road freight)</w:t>
      </w:r>
    </w:p>
    <w:p>
      <w:pPr>
        <w:numPr>
          <w:ilvl w:val="1"/>
          <w:numId w:val="1006"/>
        </w:numPr>
        <w:pStyle w:val="Compact"/>
      </w:pPr>
      <w:r>
        <w:rPr>
          <w:bCs/>
          <w:b/>
        </w:rPr>
        <w:t xml:space="preserve">Assumed Product Weight for Transport:</w:t>
      </w:r>
      <w:r>
        <w:t xml:space="preserve"> </w:t>
      </w:r>
      <w:r>
        <w:t xml:space="preserve">1.5 kg (sum of material inputs, for simplified calculation).</w:t>
      </w:r>
    </w:p>
    <w:p>
      <w:pPr>
        <w:numPr>
          <w:ilvl w:val="0"/>
          <w:numId w:val="1005"/>
        </w:numPr>
        <w:pStyle w:val="Compact"/>
      </w:pPr>
      <w:r>
        <w:rPr>
          <w:bCs/>
          <w:b/>
        </w:rPr>
        <w:t xml:space="preserve">Last-Mile Delivery Channel (China to Customer):</w:t>
      </w:r>
    </w:p>
    <w:p>
      <w:pPr>
        <w:numPr>
          <w:ilvl w:val="1"/>
          <w:numId w:val="1007"/>
        </w:numPr>
        <w:pStyle w:val="Compact"/>
      </w:pPr>
      <w:r>
        <w:rPr>
          <w:bCs/>
          <w:b/>
        </w:rPr>
        <w:t xml:space="preserve">Type:</w:t>
      </w:r>
      <w:r>
        <w:t xml:space="preserve"> </w:t>
      </w:r>
      <w:r>
        <w:t xml:space="preserve">Parcel Delivery (Light Commercial Vehicle)</w:t>
      </w:r>
    </w:p>
    <w:p>
      <w:pPr>
        <w:numPr>
          <w:ilvl w:val="1"/>
          <w:numId w:val="1007"/>
        </w:numPr>
        <w:pStyle w:val="Compact"/>
      </w:pPr>
      <w:r>
        <w:rPr>
          <w:bCs/>
          <w:b/>
        </w:rPr>
        <w:t xml:space="preserve">Distance:</w:t>
      </w:r>
      <w:r>
        <w:t xml:space="preserve"> </w:t>
      </w:r>
      <w:r>
        <w:t xml:space="preserve">50 km (Illustrative average to customer)</w:t>
      </w:r>
    </w:p>
    <w:p>
      <w:pPr>
        <w:numPr>
          <w:ilvl w:val="1"/>
          <w:numId w:val="1007"/>
        </w:numPr>
        <w:pStyle w:val="Compact"/>
      </w:pPr>
      <w:r>
        <w:rPr>
          <w:bCs/>
          <w:b/>
        </w:rPr>
        <w:t xml:space="preserve">Emission Factor:</w:t>
      </w:r>
      <w:r>
        <w:t xml:space="preserve"> </w:t>
      </w:r>
      <w:r>
        <w:t xml:space="preserve">0.2 kg CO2e/tonne-km (Illustrative, higher due to lower load factors)</w:t>
      </w:r>
    </w:p>
    <w:p>
      <w:pPr>
        <w:numPr>
          <w:ilvl w:val="1"/>
          <w:numId w:val="1007"/>
        </w:numPr>
        <w:pStyle w:val="Compact"/>
      </w:pPr>
      <w:r>
        <w:rPr>
          <w:bCs/>
          <w:b/>
        </w:rPr>
        <w:t xml:space="preserve">Assumed Product Weight for Transport:</w:t>
      </w:r>
      <w:r>
        <w:t xml:space="preserve"> </w:t>
      </w:r>
      <w:r>
        <w:t xml:space="preserve">1.5 kg.</w:t>
      </w:r>
    </w:p>
    <w:bookmarkEnd w:id="32"/>
    <w:bookmarkStart w:id="33" w:name="use-phase-data-scope-3"/>
    <w:p>
      <w:pPr>
        <w:pStyle w:val="Heading3"/>
      </w:pPr>
      <w:r>
        <w:t xml:space="preserve">Use Phase Data (Scope 3)</w:t>
      </w:r>
    </w:p>
    <w:p>
      <w:pPr>
        <w:pStyle w:val="FirstParagraph"/>
      </w:pPr>
      <w:r>
        <w:t xml:space="preserve">The specific durability and consumption data (Lifespan: pyitxvlyhe, Energy in Use: izyvfwrgvr) were placeholders. Illustrative data is used below.</w:t>
      </w:r>
    </w:p>
    <w:p>
      <w:pPr>
        <w:numPr>
          <w:ilvl w:val="0"/>
          <w:numId w:val="1008"/>
        </w:numPr>
        <w:pStyle w:val="Compact"/>
      </w:pPr>
      <w:r>
        <w:rPr>
          <w:bCs/>
          <w:b/>
        </w:rPr>
        <w:t xml:space="preserve">Product Lifespan:</w:t>
      </w:r>
      <w:r>
        <w:t xml:space="preserve"> </w:t>
      </w:r>
      <w:r>
        <w:t xml:space="preserve">5 years (Illustrative, from placeholder `pyitxvlyhe`, typical for many electronic devices).</w:t>
      </w:r>
    </w:p>
    <w:p>
      <w:pPr>
        <w:numPr>
          <w:ilvl w:val="0"/>
          <w:numId w:val="1008"/>
        </w:numPr>
        <w:pStyle w:val="Compact"/>
      </w:pPr>
      <w:r>
        <w:rPr>
          <w:bCs/>
          <w:b/>
        </w:rPr>
        <w:t xml:space="preserve">Energy Consumption in Use:</w:t>
      </w:r>
      <w:r>
        <w:t xml:space="preserve"> </w:t>
      </w:r>
      <w:r>
        <w:t xml:space="preserve">10 kWh/year (Illustrative, from placeholder `izyvfwrgvr`).</w:t>
      </w:r>
    </w:p>
    <w:p>
      <w:pPr>
        <w:numPr>
          <w:ilvl w:val="0"/>
          <w:numId w:val="1008"/>
        </w:numPr>
        <w:pStyle w:val="Compact"/>
      </w:pPr>
      <w:r>
        <w:rPr>
          <w:bCs/>
          <w:b/>
        </w:rPr>
        <w:t xml:space="preserve">End-user Electricity Mix:</w:t>
      </w:r>
      <w:r>
        <w:t xml:space="preserve"> </w:t>
      </w:r>
      <w:r>
        <w:t xml:space="preserve">Assumed to be the China grid mix for this calculation (0.7 kg CO2e/kWh) for consistency with manufacturing location.</w:t>
      </w:r>
    </w:p>
    <w:bookmarkEnd w:id="33"/>
    <w:bookmarkStart w:id="34" w:name="end-of-life-eol-scenarios-scope-3"/>
    <w:p>
      <w:pPr>
        <w:pStyle w:val="Heading3"/>
      </w:pPr>
      <w:r>
        <w:t xml:space="preserve">End-of-Life (EoL) Scenarios (Scope 3)</w:t>
      </w:r>
    </w:p>
    <w:p>
      <w:pPr>
        <w:pStyle w:val="FirstParagraph"/>
      </w:pPr>
      <w:r>
        <w:t xml:space="preserve">The End-of-Life data (Recyclability: xvmgrmsrlu, Circular Programs: pdjofkksov) were placeholders. Illustrative data is used below.</w:t>
      </w:r>
    </w:p>
    <w:p>
      <w:pPr>
        <w:numPr>
          <w:ilvl w:val="0"/>
          <w:numId w:val="1009"/>
        </w:numPr>
        <w:pStyle w:val="Compact"/>
      </w:pPr>
      <w:r>
        <w:rPr>
          <w:bCs/>
          <w:b/>
        </w:rPr>
        <w:t xml:space="preserve">Recyclability Percentage:</w:t>
      </w:r>
      <w:r>
        <w:t xml:space="preserve"> </w:t>
      </w:r>
      <w:r>
        <w:t xml:space="preserve">80% (Illustrative, from placeholder `xvmgrmsrlu`). This portion is assumed to be collected for recycling, incurring collection/processing emissions but providing avoided emissions benefits.</w:t>
      </w:r>
    </w:p>
    <w:p>
      <w:pPr>
        <w:numPr>
          <w:ilvl w:val="0"/>
          <w:numId w:val="1009"/>
        </w:numPr>
        <w:pStyle w:val="Compact"/>
      </w:pPr>
      <w:r>
        <w:rPr>
          <w:bCs/>
          <w:b/>
        </w:rPr>
        <w:t xml:space="preserve">Disposal Rate:</w:t>
      </w:r>
      <w:r>
        <w:t xml:space="preserve"> </w:t>
      </w:r>
      <w:r>
        <w:t xml:space="preserve">20% (Remaining portion, split between landfill and incineration). For this analysis, we\'ll assume 10% to landfill and 10% to incineration.</w:t>
      </w:r>
    </w:p>
    <w:p>
      <w:pPr>
        <w:numPr>
          <w:ilvl w:val="0"/>
          <w:numId w:val="1009"/>
        </w:numPr>
        <w:pStyle w:val="Compact"/>
      </w:pPr>
      <w:r>
        <w:rPr>
          <w:bCs/>
          <w:b/>
        </w:rPr>
        <w:t xml:space="preserve">Circular/Take-back Programs:</w:t>
      </w:r>
      <w:r>
        <w:t xml:space="preserve"> </w:t>
      </w:r>
      <w:r>
        <w:t xml:space="preserve">Product Refurbishment Program, Material Recovery for Aluminium and Copper (Illustrative, from placeholder `pdjofkksov`). These programs are factored into the recyclability benefits.</w:t>
      </w:r>
    </w:p>
    <w:p>
      <w:pPr>
        <w:numPr>
          <w:ilvl w:val="0"/>
          <w:numId w:val="1009"/>
        </w:numPr>
        <w:pStyle w:val="Compact"/>
      </w:pPr>
      <w:r>
        <w:rPr>
          <w:bCs/>
          <w:b/>
        </w:rPr>
        <w:t xml:space="preserve">Emission Factors for Waste Treatment:</w:t>
      </w:r>
    </w:p>
    <w:p>
      <w:pPr>
        <w:numPr>
          <w:ilvl w:val="1"/>
          <w:numId w:val="1010"/>
        </w:numPr>
        <w:pStyle w:val="Compact"/>
      </w:pPr>
      <w:r>
        <w:t xml:space="preserve">Landfill (Mixed Waste): 0.1 kg CO2e/kg (illustrative, net emissions considering some methane capture).</w:t>
      </w:r>
    </w:p>
    <w:p>
      <w:pPr>
        <w:numPr>
          <w:ilvl w:val="1"/>
          <w:numId w:val="1010"/>
        </w:numPr>
        <w:pStyle w:val="Compact"/>
      </w:pPr>
      <w:r>
        <w:t xml:space="preserve">Incineration (Mixed Waste, with Energy Recovery): 0.3 kg CO2e/kg (illustrative, considering a mix of materials, plastics contribute to higher emissions).</w:t>
      </w:r>
    </w:p>
    <w:p>
      <w:pPr>
        <w:numPr>
          <w:ilvl w:val="1"/>
          <w:numId w:val="1010"/>
        </w:numPr>
        <w:pStyle w:val="Compact"/>
      </w:pPr>
      <w:r>
        <w:t xml:space="preserve">Recycling Benefits:</w:t>
      </w:r>
    </w:p>
    <w:p>
      <w:pPr>
        <w:numPr>
          <w:ilvl w:val="2"/>
          <w:numId w:val="1011"/>
        </w:numPr>
        <w:pStyle w:val="Compact"/>
      </w:pPr>
      <w:r>
        <w:t xml:space="preserve">Aluminium: -9.0 kg CO2e/kg (avoided primary production emissions).</w:t>
      </w:r>
    </w:p>
    <w:p>
      <w:pPr>
        <w:numPr>
          <w:ilvl w:val="2"/>
          <w:numId w:val="1011"/>
        </w:numPr>
        <w:pStyle w:val="Compact"/>
      </w:pPr>
      <w:r>
        <w:t xml:space="preserve">Copper: -6.0 kg CO2e/kg (avoided primary production emissions).</w:t>
      </w:r>
    </w:p>
    <w:p>
      <w:pPr>
        <w:numPr>
          <w:ilvl w:val="2"/>
          <w:numId w:val="1011"/>
        </w:numPr>
        <w:pStyle w:val="Compact"/>
      </w:pPr>
      <w:r>
        <w:t xml:space="preserve">Plastics: -1.5 kg CO2e/kg (avoided primary production emissions).</w:t>
      </w:r>
    </w:p>
    <w:p>
      <w:pPr>
        <w:numPr>
          <w:ilvl w:val="2"/>
          <w:numId w:val="1011"/>
        </w:numPr>
        <w:pStyle w:val="Compact"/>
      </w:pPr>
      <w:r>
        <w:t xml:space="preserve">Cardboard: -0.8 kg CO2e/kg (avoided primary production emissions).</w:t>
      </w:r>
    </w:p>
    <w:p>
      <w:r>
        <w:pict>
          <v:rect style="width:0;height:1.5pt" o:hralign="center" o:hrstd="t" o:hr="t"/>
        </w:pict>
      </w:r>
    </w:p>
    <w:bookmarkEnd w:id="34"/>
    <w:bookmarkEnd w:id="35"/>
    <w:bookmarkStart w:id="49" w:name="Xb404f6bea4a0013006ec7a9103609d9ea6643c1"/>
    <w:p>
      <w:pPr>
        <w:pStyle w:val="Heading2"/>
      </w:pPr>
      <w:r>
        <w:t xml:space="preserve">4. Calculate Emissions (Activity * Emission Factor = CO2e)</w:t>
      </w:r>
    </w:p>
    <w:p>
      <w:pPr>
        <w:pStyle w:val="FirstParagraph"/>
      </w:pPr>
      <w:r>
        <w:t xml:space="preserve">Emissions are calculated based on the collected activity data and selected industry-standard emission factors (e.g., Ecoinvent/DEFRA equivalents). The results are categorized into GHG Protocol Scopes 1, 2, and 3.</w:t>
      </w:r>
    </w:p>
    <w:bookmarkStart w:id="36" w:name="scope-1-direct-emissions"/>
    <w:p>
      <w:pPr>
        <w:pStyle w:val="Heading3"/>
      </w:pPr>
      <w:r>
        <w:t xml:space="preserve">Scope 1: Direct Emissions</w:t>
      </w:r>
    </w:p>
    <w:p>
      <w:pPr>
        <w:pStyle w:val="FirstParagraph"/>
      </w:pPr>
      <w:r>
        <w:t xml:space="preserve">Direct GHG emissions from sources owned or controlled by "wmqlpimdfj." For this product\'s manufacturing process (geeydmiidk) in a typical contract manufacturing scenario and a "factory_gate" system boundary, significant Scope 1 emissions (e.g., from on-site fuel combustion or direct process emissions) are assumed to be negligible or zero unless specified. If there were company-owned vehicles or specific industrial processes directly managed by "wmqlpimdfj" at the production facility, these would be included here.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Source</w:t>
            </w:r>
          </w:p>
        </w:tc>
        <w:tc>
          <w:tcPr/>
          <w:p>
            <w:pPr>
              <w:pStyle w:val="Compact"/>
              <w:jc w:val="left"/>
            </w:pPr>
            <w:r>
              <w:t xml:space="preserve">Activity Data</w:t>
            </w:r>
          </w:p>
        </w:tc>
        <w:tc>
          <w:tcPr/>
          <w:p>
            <w:pPr>
              <w:pStyle w:val="Compact"/>
              <w:jc w:val="left"/>
            </w:pPr>
            <w:r>
              <w:t xml:space="preserve">Emission Factor</w:t>
            </w:r>
          </w:p>
        </w:tc>
        <w:tc>
          <w:tcPr/>
          <w:p>
            <w:pPr>
              <w:pStyle w:val="Compact"/>
              <w:jc w:val="left"/>
            </w:pPr>
            <w:r>
              <w:t xml:space="preserve">GHG Emissions (kg CO2e)</w:t>
            </w:r>
          </w:p>
        </w:tc>
      </w:tr>
      <w:tr>
        <w:tc>
          <w:tcPr/>
          <w:p>
            <w:pPr>
              <w:pStyle w:val="Compact"/>
              <w:jc w:val="left"/>
            </w:pPr>
            <w:r>
              <w:t xml:space="preserve">Manufacturing Facility Operations (e.g., minor on-site fuel combustion, refrigerants)</w:t>
            </w:r>
          </w:p>
        </w:tc>
        <w:tc>
          <w:tcPr/>
          <w:p>
            <w:pPr>
              <w:pStyle w:val="Compact"/>
              <w:jc w:val="left"/>
            </w:pPr>
            <w:r>
              <w:t xml:space="preserve">Assumed Negligible</w:t>
            </w:r>
          </w:p>
        </w:tc>
        <w:tc>
          <w:tcPr/>
          <w:p>
            <w:pPr>
              <w:pStyle w:val="Compact"/>
              <w:jc w:val="left"/>
            </w:pPr>
            <w:r>
              <w:t xml:space="preserve">-</w:t>
            </w:r>
          </w:p>
        </w:tc>
        <w:tc>
          <w:tcPr/>
          <w:p>
            <w:pPr>
              <w:pStyle w:val="Compact"/>
              <w:jc w:val="left"/>
            </w:pPr>
            <w:r>
              <w:t xml:space="preserve">0.00</w:t>
            </w:r>
          </w:p>
        </w:tc>
      </w:tr>
      <w:tr>
        <w:tc>
          <w:tcPr>
            <w:gridSpan w:val="3"/>
          </w:tcPr>
          <w:p>
            <w:pPr>
              <w:pStyle w:val="Compact"/>
              <w:jc w:val="left"/>
            </w:pPr>
            <w:r>
              <w:rPr>
                <w:bCs/>
                <w:b/>
              </w:rPr>
              <w:t xml:space="preserve">Total Scope 1 Emissions</w:t>
            </w:r>
          </w:p>
        </w:tc>
        <w:tc>
          <w:tcPr/>
          <w:p>
            <w:pPr>
              <w:pStyle w:val="Compact"/>
              <w:jc w:val="left"/>
            </w:pPr>
            <w:r>
              <w:rPr>
                <w:bCs/>
                <w:b/>
              </w:rPr>
              <w:t xml:space="preserve">0.00</w:t>
            </w:r>
          </w:p>
        </w:tc>
      </w:tr>
    </w:tbl>
    <w:bookmarkEnd w:id="36"/>
    <w:bookmarkStart w:id="37" w:name="scope-2-energy-indirect-emissions"/>
    <w:p>
      <w:pPr>
        <w:pStyle w:val="Heading3"/>
      </w:pPr>
      <w:r>
        <w:t xml:space="preserve">Scope 2: Energy Indirect Emissions</w:t>
      </w:r>
    </w:p>
    <w:p>
      <w:pPr>
        <w:pStyle w:val="FirstParagraph"/>
      </w:pPr>
      <w:r>
        <w:t xml:space="preserve">Indirect GHG emissions from the generation of purchased electricity, steam, heat, or cooling consumed by "wmqlpimdfj" at the manufacturing facility.</w:t>
      </w:r>
    </w:p>
    <w:p>
      <w:pPr>
        <w:pStyle w:val="BodyText"/>
      </w:pPr>
      <w:r>
        <w:rPr>
          <w:bCs/>
          <w:b/>
        </w:rPr>
        <w:t xml:space="preserve">Calculation:</w:t>
      </w:r>
      <w:r>
        <w:t xml:space="preserve"> </w:t>
      </w:r>
      <w:r>
        <w:t xml:space="preserve">(Total Energy Intensity * (1 - Renewable Energy Usage)) * Grid Electricity EF</w:t>
      </w:r>
    </w:p>
    <w:p>
      <w:pPr>
        <w:numPr>
          <w:ilvl w:val="0"/>
          <w:numId w:val="1012"/>
        </w:numPr>
        <w:pStyle w:val="Compact"/>
      </w:pPr>
      <w:r>
        <w:t xml:space="preserve">Total Energy Consumption: 15 kWh/unit</w:t>
      </w:r>
    </w:p>
    <w:p>
      <w:pPr>
        <w:numPr>
          <w:ilvl w:val="0"/>
          <w:numId w:val="1012"/>
        </w:numPr>
        <w:pStyle w:val="Compact"/>
      </w:pPr>
      <w:r>
        <w:t xml:space="preserve">Non-Renewable Energy: 15 kWh/unit * (1 - 0.60) = 6 kWh/unit</w:t>
      </w:r>
    </w:p>
    <w:p>
      <w:pPr>
        <w:numPr>
          <w:ilvl w:val="0"/>
          <w:numId w:val="1012"/>
        </w:numPr>
        <w:pStyle w:val="Compact"/>
      </w:pPr>
      <w:r>
        <w:t xml:space="preserve">China Grid Electricity EF: 0.7 kg CO2e/kWh</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Source</w:t>
            </w:r>
          </w:p>
        </w:tc>
        <w:tc>
          <w:tcPr/>
          <w:p>
            <w:pPr>
              <w:pStyle w:val="Compact"/>
              <w:jc w:val="left"/>
            </w:pPr>
            <w:r>
              <w:t xml:space="preserve">Activity Data (kWh)</w:t>
            </w:r>
          </w:p>
        </w:tc>
        <w:tc>
          <w:tcPr/>
          <w:p>
            <w:pPr>
              <w:pStyle w:val="Compact"/>
              <w:jc w:val="left"/>
            </w:pPr>
            <w:r>
              <w:t xml:space="preserve">Emission Factor (kg CO2e/kWh)</w:t>
            </w:r>
          </w:p>
        </w:tc>
        <w:tc>
          <w:tcPr/>
          <w:p>
            <w:pPr>
              <w:pStyle w:val="Compact"/>
              <w:jc w:val="left"/>
            </w:pPr>
            <w:r>
              <w:t xml:space="preserve">GHG Emissions (kg CO2e)</w:t>
            </w:r>
          </w:p>
        </w:tc>
      </w:tr>
      <w:tr>
        <w:tc>
          <w:tcPr/>
          <w:p>
            <w:pPr>
              <w:pStyle w:val="Compact"/>
              <w:jc w:val="left"/>
            </w:pPr>
            <w:r>
              <w:t xml:space="preserve">Purchased Electricity (Non-Renewable)</w:t>
            </w:r>
          </w:p>
        </w:tc>
        <w:tc>
          <w:tcPr/>
          <w:p>
            <w:pPr>
              <w:pStyle w:val="Compact"/>
              <w:jc w:val="left"/>
            </w:pPr>
            <w:r>
              <w:t xml:space="preserve">6.00</w:t>
            </w:r>
          </w:p>
        </w:tc>
        <w:tc>
          <w:tcPr/>
          <w:p>
            <w:pPr>
              <w:pStyle w:val="Compact"/>
              <w:jc w:val="left"/>
            </w:pPr>
            <w:r>
              <w:t xml:space="preserve">0.70</w:t>
            </w:r>
          </w:p>
        </w:tc>
        <w:tc>
          <w:tcPr/>
          <w:p>
            <w:pPr>
              <w:pStyle w:val="Compact"/>
              <w:jc w:val="left"/>
            </w:pPr>
            <w:r>
              <w:t xml:space="preserve">4.20</w:t>
            </w:r>
          </w:p>
        </w:tc>
      </w:tr>
      <w:tr>
        <w:tc>
          <w:tcPr>
            <w:gridSpan w:val="3"/>
          </w:tcPr>
          <w:p>
            <w:pPr>
              <w:pStyle w:val="Compact"/>
              <w:jc w:val="left"/>
            </w:pPr>
            <w:r>
              <w:rPr>
                <w:bCs/>
                <w:b/>
              </w:rPr>
              <w:t xml:space="preserve">Total Scope 2 Emissions</w:t>
            </w:r>
          </w:p>
        </w:tc>
        <w:tc>
          <w:tcPr/>
          <w:p>
            <w:pPr>
              <w:pStyle w:val="Compact"/>
              <w:jc w:val="left"/>
            </w:pPr>
            <w:r>
              <w:rPr>
                <w:bCs/>
                <w:b/>
              </w:rPr>
              <w:t xml:space="preserve">4.20</w:t>
            </w:r>
          </w:p>
        </w:tc>
      </w:tr>
    </w:tbl>
    <w:bookmarkEnd w:id="37"/>
    <w:bookmarkStart w:id="46" w:name="Xd1c2b652bc5876514f180a21f002993b8de8e83"/>
    <w:p>
      <w:pPr>
        <w:pStyle w:val="Heading3"/>
      </w:pPr>
      <w:r>
        <w:t xml:space="preserve">Scope 3: Other Indirect Emissions (Value Chain)</w:t>
      </w:r>
    </w:p>
    <w:p>
      <w:pPr>
        <w:pStyle w:val="FirstParagraph"/>
      </w:pPr>
      <w:r>
        <w:t xml:space="preserve">Scope 3 emissions are typically the largest portion of a company\'s carbon footprint, often accounting for 70-90% of total emissions. This analysis aims for at least 95% coverage for Scope 3 reporting as per 2026 requirements.</w:t>
      </w:r>
    </w:p>
    <w:bookmarkStart w:id="40" w:name="upstream-scope-3-emissions"/>
    <w:p>
      <w:pPr>
        <w:pStyle w:val="Heading4"/>
      </w:pPr>
      <w:r>
        <w:t xml:space="preserve">Upstream Scope 3 Emissions</w:t>
      </w:r>
    </w:p>
    <w:bookmarkStart w:id="38" w:name="purchased-goods-and-services-materials"/>
    <w:p>
      <w:pPr>
        <w:pStyle w:val="Heading5"/>
      </w:pPr>
      <w:r>
        <w:t xml:space="preserve">1. Purchased Goods and Services (Materials)</w:t>
      </w:r>
    </w:p>
    <w:p>
      <w:pPr>
        <w:pStyle w:val="FirstParagraph"/>
      </w:pPr>
      <w:r>
        <w:t xml:space="preserve">Emissions associated with the extraction, production, and processing of raw materials for "geeydmiidk."</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Material</w:t>
            </w:r>
          </w:p>
        </w:tc>
        <w:tc>
          <w:tcPr/>
          <w:p>
            <w:pPr>
              <w:pStyle w:val="Compact"/>
              <w:jc w:val="left"/>
            </w:pPr>
            <w:r>
              <w:t xml:space="preserve">Quantity (kg)</w:t>
            </w:r>
          </w:p>
        </w:tc>
        <w:tc>
          <w:tcPr/>
          <w:p>
            <w:pPr>
              <w:pStyle w:val="Compact"/>
              <w:jc w:val="left"/>
            </w:pPr>
            <w:r>
              <w:t xml:space="preserve">Emission Factor (kg CO2e/kg)</w:t>
            </w:r>
          </w:p>
        </w:tc>
        <w:tc>
          <w:tcPr/>
          <w:p>
            <w:pPr>
              <w:pStyle w:val="Compact"/>
              <w:jc w:val="left"/>
            </w:pPr>
            <w:r>
              <w:t xml:space="preserve">GHG Emissions (kg CO2e)</w:t>
            </w:r>
          </w:p>
        </w:tc>
      </w:tr>
      <w:tr>
        <w:tc>
          <w:tcPr/>
          <w:p>
            <w:pPr>
              <w:pStyle w:val="Compact"/>
              <w:jc w:val="left"/>
            </w:pPr>
            <w:r>
              <w:t xml:space="preserve">Aluminium Casing</w:t>
            </w:r>
          </w:p>
        </w:tc>
        <w:tc>
          <w:tcPr/>
          <w:p>
            <w:pPr>
              <w:pStyle w:val="Compact"/>
              <w:jc w:val="left"/>
            </w:pPr>
            <w:r>
              <w:t xml:space="preserve">0.50</w:t>
            </w:r>
          </w:p>
        </w:tc>
        <w:tc>
          <w:tcPr/>
          <w:p>
            <w:pPr>
              <w:pStyle w:val="Compact"/>
              <w:jc w:val="left"/>
            </w:pPr>
            <w:r>
              <w:t xml:space="preserve">15.00</w:t>
            </w:r>
          </w:p>
        </w:tc>
        <w:tc>
          <w:tcPr/>
          <w:p>
            <w:pPr>
              <w:pStyle w:val="Compact"/>
              <w:jc w:val="left"/>
            </w:pPr>
            <w:r>
              <w:t xml:space="preserve">7.50</w:t>
            </w:r>
          </w:p>
        </w:tc>
      </w:tr>
      <w:tr>
        <w:tc>
          <w:tcPr/>
          <w:p>
            <w:pPr>
              <w:pStyle w:val="Compact"/>
              <w:jc w:val="left"/>
            </w:pPr>
            <w:r>
              <w:t xml:space="preserve">ABS Plastic Shell</w:t>
            </w:r>
          </w:p>
        </w:tc>
        <w:tc>
          <w:tcPr/>
          <w:p>
            <w:pPr>
              <w:pStyle w:val="Compact"/>
              <w:jc w:val="left"/>
            </w:pPr>
            <w:r>
              <w:t xml:space="preserve">0.80</w:t>
            </w:r>
          </w:p>
        </w:tc>
        <w:tc>
          <w:tcPr/>
          <w:p>
            <w:pPr>
              <w:pStyle w:val="Compact"/>
              <w:jc w:val="left"/>
            </w:pPr>
            <w:r>
              <w:t xml:space="preserve">3.00</w:t>
            </w:r>
          </w:p>
        </w:tc>
        <w:tc>
          <w:tcPr/>
          <w:p>
            <w:pPr>
              <w:pStyle w:val="Compact"/>
              <w:jc w:val="left"/>
            </w:pPr>
            <w:r>
              <w:t xml:space="preserve">2.40</w:t>
            </w:r>
          </w:p>
        </w:tc>
      </w:tr>
      <w:tr>
        <w:tc>
          <w:tcPr/>
          <w:p>
            <w:pPr>
              <w:pStyle w:val="Compact"/>
              <w:jc w:val="left"/>
            </w:pPr>
            <w:r>
              <w:t xml:space="preserve">Copper Wire</w:t>
            </w:r>
          </w:p>
        </w:tc>
        <w:tc>
          <w:tcPr/>
          <w:p>
            <w:pPr>
              <w:pStyle w:val="Compact"/>
              <w:jc w:val="left"/>
            </w:pPr>
            <w:r>
              <w:t xml:space="preserve">0.20</w:t>
            </w:r>
          </w:p>
        </w:tc>
        <w:tc>
          <w:tcPr/>
          <w:p>
            <w:pPr>
              <w:pStyle w:val="Compact"/>
              <w:jc w:val="left"/>
            </w:pPr>
            <w:r>
              <w:t xml:space="preserve">8.00</w:t>
            </w:r>
          </w:p>
        </w:tc>
        <w:tc>
          <w:tcPr/>
          <w:p>
            <w:pPr>
              <w:pStyle w:val="Compact"/>
              <w:jc w:val="left"/>
            </w:pPr>
            <w:r>
              <w:t xml:space="preserve">1.60</w:t>
            </w:r>
          </w:p>
        </w:tc>
      </w:tr>
      <w:tr>
        <w:tc>
          <w:tcPr/>
          <w:p>
            <w:pPr>
              <w:pStyle w:val="Compact"/>
              <w:jc w:val="left"/>
            </w:pPr>
            <w:r>
              <w:t xml:space="preserve">Circuit Board Assembly</w:t>
            </w:r>
          </w:p>
        </w:tc>
        <w:tc>
          <w:tcPr/>
          <w:p>
            <w:pPr>
              <w:pStyle w:val="Compact"/>
              <w:jc w:val="left"/>
            </w:pPr>
            <w:r>
              <w:t xml:space="preserve">1.00 (unit)</w:t>
            </w:r>
          </w:p>
        </w:tc>
        <w:tc>
          <w:tcPr/>
          <w:p>
            <w:pPr>
              <w:pStyle w:val="Compact"/>
              <w:jc w:val="left"/>
            </w:pPr>
            <w:r>
              <w:t xml:space="preserve">2.50 (per unit)</w:t>
            </w:r>
          </w:p>
        </w:tc>
        <w:tc>
          <w:tcPr/>
          <w:p>
            <w:pPr>
              <w:pStyle w:val="Compact"/>
              <w:jc w:val="left"/>
            </w:pPr>
            <w:r>
              <w:t xml:space="preserve">2.50</w:t>
            </w:r>
          </w:p>
        </w:tc>
      </w:tr>
      <w:tr>
        <w:tc>
          <w:tcPr/>
          <w:p>
            <w:pPr>
              <w:pStyle w:val="Compact"/>
              <w:jc w:val="left"/>
            </w:pPr>
            <w:r>
              <w:t xml:space="preserve">Packaging (Cardboard)</w:t>
            </w:r>
          </w:p>
        </w:tc>
        <w:tc>
          <w:tcPr/>
          <w:p>
            <w:pPr>
              <w:pStyle w:val="Compact"/>
              <w:jc w:val="left"/>
            </w:pPr>
            <w:r>
              <w:t xml:space="preserve">0.30</w:t>
            </w:r>
          </w:p>
        </w:tc>
        <w:tc>
          <w:tcPr/>
          <w:p>
            <w:pPr>
              <w:pStyle w:val="Compact"/>
              <w:jc w:val="left"/>
            </w:pPr>
            <w:r>
              <w:t xml:space="preserve">1.20</w:t>
            </w:r>
          </w:p>
        </w:tc>
        <w:tc>
          <w:tcPr/>
          <w:p>
            <w:pPr>
              <w:pStyle w:val="Compact"/>
              <w:jc w:val="left"/>
            </w:pPr>
            <w:r>
              <w:t xml:space="preserve">0.36</w:t>
            </w:r>
          </w:p>
        </w:tc>
      </w:tr>
      <w:tr>
        <w:tc>
          <w:tcPr>
            <w:gridSpan w:val="3"/>
          </w:tcPr>
          <w:p>
            <w:pPr>
              <w:pStyle w:val="Compact"/>
              <w:jc w:val="left"/>
            </w:pPr>
            <w:r>
              <w:rPr>
                <w:bCs/>
                <w:b/>
              </w:rPr>
              <w:t xml:space="preserve">Subtotal Material Emissions</w:t>
            </w:r>
          </w:p>
        </w:tc>
        <w:tc>
          <w:tcPr/>
          <w:p>
            <w:pPr>
              <w:pStyle w:val="Compact"/>
              <w:jc w:val="left"/>
            </w:pPr>
            <w:r>
              <w:rPr>
                <w:bCs/>
                <w:b/>
              </w:rPr>
              <w:t xml:space="preserve">14.36</w:t>
            </w:r>
          </w:p>
        </w:tc>
      </w:tr>
    </w:tbl>
    <w:bookmarkEnd w:id="38"/>
    <w:bookmarkStart w:id="39" w:name="Xfc9680a615876d8956011f26a61641d3b4560ad"/>
    <w:p>
      <w:pPr>
        <w:pStyle w:val="Heading5"/>
      </w:pPr>
      <w:r>
        <w:t xml:space="preserve">2. Upstream Transportation and Distribution (Inbound)</w:t>
      </w:r>
    </w:p>
    <w:p>
      <w:pPr>
        <w:pStyle w:val="FirstParagraph"/>
      </w:pPr>
      <w:r>
        <w:t xml:space="preserve">Emissions from the transportation of purchased materials from suppliers to the manufacturing facility.</w:t>
      </w:r>
    </w:p>
    <w:p>
      <w:pPr>
        <w:numPr>
          <w:ilvl w:val="0"/>
          <w:numId w:val="1013"/>
        </w:numPr>
        <w:pStyle w:val="Compact"/>
      </w:pPr>
      <w:r>
        <w:t xml:space="preserve">Product Weight for Transport: 1.5 kg</w:t>
      </w:r>
    </w:p>
    <w:p>
      <w:pPr>
        <w:numPr>
          <w:ilvl w:val="0"/>
          <w:numId w:val="1013"/>
        </w:numPr>
        <w:pStyle w:val="Compact"/>
      </w:pPr>
      <w:r>
        <w:t xml:space="preserve">Transport Distance: 2000 km</w:t>
      </w:r>
    </w:p>
    <w:p>
      <w:pPr>
        <w:numPr>
          <w:ilvl w:val="0"/>
          <w:numId w:val="1013"/>
        </w:numPr>
        <w:pStyle w:val="Compact"/>
      </w:pPr>
      <w:r>
        <w:t xml:space="preserve">Transport Mode EF: 0.1 kg CO2e/tonne-km</w:t>
      </w:r>
    </w:p>
    <w:p>
      <w:pPr>
        <w:pStyle w:val="FirstParagraph"/>
      </w:pPr>
      <w:r>
        <w:rPr>
          <w:bCs/>
          <w:b/>
        </w:rPr>
        <w:t xml:space="preserve">Calculation:</w:t>
      </w:r>
      <w:r>
        <w:t xml:space="preserve"> </w:t>
      </w:r>
      <w:r>
        <w:t xml:space="preserve">(Product Weight / 1000 kg/tonne) * Transport Distance * Transport Mode EF</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Source</w:t>
            </w:r>
          </w:p>
        </w:tc>
        <w:tc>
          <w:tcPr/>
          <w:p>
            <w:pPr>
              <w:pStyle w:val="Compact"/>
              <w:jc w:val="left"/>
            </w:pPr>
            <w:r>
              <w:t xml:space="preserve">Activity (tonne-km)</w:t>
            </w:r>
          </w:p>
        </w:tc>
        <w:tc>
          <w:tcPr/>
          <w:p>
            <w:pPr>
              <w:pStyle w:val="Compact"/>
              <w:jc w:val="left"/>
            </w:pPr>
            <w:r>
              <w:t xml:space="preserve">Emission Factor (kg CO2e/tonne-km)</w:t>
            </w:r>
          </w:p>
        </w:tc>
        <w:tc>
          <w:tcPr/>
          <w:p>
            <w:pPr>
              <w:pStyle w:val="Compact"/>
              <w:jc w:val="left"/>
            </w:pPr>
            <w:r>
              <w:t xml:space="preserve">GHG Emissions (kg CO2e)</w:t>
            </w:r>
          </w:p>
        </w:tc>
      </w:tr>
      <w:tr>
        <w:tc>
          <w:tcPr/>
          <w:p>
            <w:pPr>
              <w:pStyle w:val="Compact"/>
              <w:jc w:val="left"/>
            </w:pPr>
            <w:r>
              <w:t xml:space="preserve">Road Freight (Europe to China)</w:t>
            </w:r>
          </w:p>
        </w:tc>
        <w:tc>
          <w:tcPr/>
          <w:p>
            <w:pPr>
              <w:pStyle w:val="Compact"/>
              <w:jc w:val="left"/>
            </w:pPr>
            <w:r>
              <w:t xml:space="preserve">(1.5 kg / 1000) * 2000 km = 3.0</w:t>
            </w:r>
          </w:p>
        </w:tc>
        <w:tc>
          <w:tcPr/>
          <w:p>
            <w:pPr>
              <w:pStyle w:val="Compact"/>
              <w:jc w:val="left"/>
            </w:pPr>
            <w:r>
              <w:t xml:space="preserve">0.10</w:t>
            </w:r>
          </w:p>
        </w:tc>
        <w:tc>
          <w:tcPr/>
          <w:p>
            <w:pPr>
              <w:pStyle w:val="Compact"/>
              <w:jc w:val="left"/>
            </w:pPr>
            <w:r>
              <w:t xml:space="preserve">0.30</w:t>
            </w:r>
          </w:p>
        </w:tc>
      </w:tr>
      <w:tr>
        <w:tc>
          <w:tcPr>
            <w:gridSpan w:val="3"/>
          </w:tcPr>
          <w:p>
            <w:pPr>
              <w:pStyle w:val="Compact"/>
              <w:jc w:val="left"/>
            </w:pPr>
            <w:r>
              <w:rPr>
                <w:bCs/>
                <w:b/>
              </w:rPr>
              <w:t xml:space="preserve">Subtotal Inbound Transport Emissions</w:t>
            </w:r>
          </w:p>
        </w:tc>
        <w:tc>
          <w:tcPr/>
          <w:p>
            <w:pPr>
              <w:pStyle w:val="Compact"/>
              <w:jc w:val="left"/>
            </w:pPr>
            <w:r>
              <w:rPr>
                <w:bCs/>
                <w:b/>
              </w:rPr>
              <w:t xml:space="preserve">0.30</w:t>
            </w:r>
          </w:p>
        </w:tc>
      </w:tr>
    </w:tbl>
    <w:bookmarkEnd w:id="39"/>
    <w:bookmarkEnd w:id="40"/>
    <w:bookmarkStart w:id="44" w:name="downstream-scope-3-emissions"/>
    <w:p>
      <w:pPr>
        <w:pStyle w:val="Heading4"/>
      </w:pPr>
      <w:r>
        <w:t xml:space="preserve">Downstream Scope 3 Emissions</w:t>
      </w:r>
    </w:p>
    <w:bookmarkStart w:id="41" w:name="X57c887a1fd0735a9b8db55858fd23d86f021b2d"/>
    <w:p>
      <w:pPr>
        <w:pStyle w:val="Heading5"/>
      </w:pPr>
      <w:r>
        <w:t xml:space="preserve">1. Downstream Transportation and Distribution (Last-Mile Delivery)</w:t>
      </w:r>
    </w:p>
    <w:p>
      <w:pPr>
        <w:pStyle w:val="FirstParagraph"/>
      </w:pPr>
      <w:r>
        <w:t xml:space="preserve">Emissions from the transportation of finished products from the factory to the end customer.</w:t>
      </w:r>
    </w:p>
    <w:p>
      <w:pPr>
        <w:numPr>
          <w:ilvl w:val="0"/>
          <w:numId w:val="1014"/>
        </w:numPr>
        <w:pStyle w:val="Compact"/>
      </w:pPr>
      <w:r>
        <w:t xml:space="preserve">Product Weight for Transport: 1.5 kg</w:t>
      </w:r>
    </w:p>
    <w:p>
      <w:pPr>
        <w:numPr>
          <w:ilvl w:val="0"/>
          <w:numId w:val="1014"/>
        </w:numPr>
        <w:pStyle w:val="Compact"/>
      </w:pPr>
      <w:r>
        <w:t xml:space="preserve">Transport Distance: 50 km</w:t>
      </w:r>
    </w:p>
    <w:p>
      <w:pPr>
        <w:numPr>
          <w:ilvl w:val="0"/>
          <w:numId w:val="1014"/>
        </w:numPr>
        <w:pStyle w:val="Compact"/>
      </w:pPr>
      <w:r>
        <w:t xml:space="preserve">Transport Mode EF: 0.2 kg CO2e/tonne-km</w:t>
      </w:r>
    </w:p>
    <w:p>
      <w:pPr>
        <w:pStyle w:val="FirstParagraph"/>
      </w:pPr>
      <w:r>
        <w:rPr>
          <w:bCs/>
          <w:b/>
        </w:rPr>
        <w:t xml:space="preserve">Calculation:</w:t>
      </w:r>
      <w:r>
        <w:t xml:space="preserve"> </w:t>
      </w:r>
      <w:r>
        <w:t xml:space="preserve">(Product Weight / 1000 kg/tonne) * Transport Distance * Transport Mode EF</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Source</w:t>
            </w:r>
          </w:p>
        </w:tc>
        <w:tc>
          <w:tcPr/>
          <w:p>
            <w:pPr>
              <w:pStyle w:val="Compact"/>
              <w:jc w:val="left"/>
            </w:pPr>
            <w:r>
              <w:t xml:space="preserve">Activity (tonne-km)</w:t>
            </w:r>
          </w:p>
        </w:tc>
        <w:tc>
          <w:tcPr/>
          <w:p>
            <w:pPr>
              <w:pStyle w:val="Compact"/>
              <w:jc w:val="left"/>
            </w:pPr>
            <w:r>
              <w:t xml:space="preserve">Emission Factor (kg CO2e/tonne-km)</w:t>
            </w:r>
          </w:p>
        </w:tc>
        <w:tc>
          <w:tcPr/>
          <w:p>
            <w:pPr>
              <w:pStyle w:val="Compact"/>
              <w:jc w:val="left"/>
            </w:pPr>
            <w:r>
              <w:t xml:space="preserve">GHG Emissions (kg CO2e)</w:t>
            </w:r>
          </w:p>
        </w:tc>
      </w:tr>
      <w:tr>
        <w:tc>
          <w:tcPr/>
          <w:p>
            <w:pPr>
              <w:pStyle w:val="Compact"/>
              <w:jc w:val="left"/>
            </w:pPr>
            <w:r>
              <w:t xml:space="preserve">Parcel Delivery (China to Customer)</w:t>
            </w:r>
          </w:p>
        </w:tc>
        <w:tc>
          <w:tcPr/>
          <w:p>
            <w:pPr>
              <w:pStyle w:val="Compact"/>
              <w:jc w:val="left"/>
            </w:pPr>
            <w:r>
              <w:t xml:space="preserve">(1.5 kg / 1000) * 50 km = 0.075</w:t>
            </w:r>
          </w:p>
        </w:tc>
        <w:tc>
          <w:tcPr/>
          <w:p>
            <w:pPr>
              <w:pStyle w:val="Compact"/>
              <w:jc w:val="left"/>
            </w:pPr>
            <w:r>
              <w:t xml:space="preserve">0.20</w:t>
            </w:r>
          </w:p>
        </w:tc>
        <w:tc>
          <w:tcPr/>
          <w:p>
            <w:pPr>
              <w:pStyle w:val="Compact"/>
              <w:jc w:val="left"/>
            </w:pPr>
            <w:r>
              <w:t xml:space="preserve">0.015</w:t>
            </w:r>
          </w:p>
        </w:tc>
      </w:tr>
      <w:tr>
        <w:tc>
          <w:tcPr>
            <w:gridSpan w:val="3"/>
          </w:tcPr>
          <w:p>
            <w:pPr>
              <w:pStyle w:val="Compact"/>
              <w:jc w:val="left"/>
            </w:pPr>
            <w:r>
              <w:rPr>
                <w:bCs/>
                <w:b/>
              </w:rPr>
              <w:t xml:space="preserve">Subtotal Last-Mile Delivery Emissions</w:t>
            </w:r>
          </w:p>
        </w:tc>
        <w:tc>
          <w:tcPr/>
          <w:p>
            <w:pPr>
              <w:pStyle w:val="Compact"/>
              <w:jc w:val="left"/>
            </w:pPr>
            <w:r>
              <w:rPr>
                <w:bCs/>
                <w:b/>
              </w:rPr>
              <w:t xml:space="preserve">0.015</w:t>
            </w:r>
          </w:p>
        </w:tc>
      </w:tr>
    </w:tbl>
    <w:bookmarkEnd w:id="41"/>
    <w:bookmarkStart w:id="42" w:name="use-phase-emissions"/>
    <w:p>
      <w:pPr>
        <w:pStyle w:val="Heading5"/>
      </w:pPr>
      <w:r>
        <w:t xml:space="preserve">2. Use Phase Emissions</w:t>
      </w:r>
    </w:p>
    <w:p>
      <w:pPr>
        <w:pStyle w:val="FirstParagraph"/>
      </w:pPr>
      <w:r>
        <w:t xml:space="preserve">Emissions from the end-user consumption of energy during the product\'s lifespan.</w:t>
      </w:r>
    </w:p>
    <w:p>
      <w:pPr>
        <w:numPr>
          <w:ilvl w:val="0"/>
          <w:numId w:val="1015"/>
        </w:numPr>
        <w:pStyle w:val="Compact"/>
      </w:pPr>
      <w:r>
        <w:t xml:space="preserve">Product Lifespan: 5 years</w:t>
      </w:r>
    </w:p>
    <w:p>
      <w:pPr>
        <w:numPr>
          <w:ilvl w:val="0"/>
          <w:numId w:val="1015"/>
        </w:numPr>
        <w:pStyle w:val="Compact"/>
      </w:pPr>
      <w:r>
        <w:t xml:space="preserve">Energy Consumption in Use: 10 kWh/year</w:t>
      </w:r>
    </w:p>
    <w:p>
      <w:pPr>
        <w:numPr>
          <w:ilvl w:val="0"/>
          <w:numId w:val="1015"/>
        </w:numPr>
        <w:pStyle w:val="Compact"/>
      </w:pPr>
      <w:r>
        <w:t xml:space="preserve">End-user Electricity EF (China Grid): 0.7 kg CO2e/kWh</w:t>
      </w:r>
    </w:p>
    <w:p>
      <w:pPr>
        <w:pStyle w:val="FirstParagraph"/>
      </w:pPr>
      <w:r>
        <w:rPr>
          <w:bCs/>
          <w:b/>
        </w:rPr>
        <w:t xml:space="preserve">Calculation:</w:t>
      </w:r>
      <w:r>
        <w:t xml:space="preserve"> </w:t>
      </w:r>
      <w:r>
        <w:t xml:space="preserve">Product Lifespan * Energy Consumption in Use * End-user Electricity EF</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Source</w:t>
            </w:r>
          </w:p>
        </w:tc>
        <w:tc>
          <w:tcPr/>
          <w:p>
            <w:pPr>
              <w:pStyle w:val="Compact"/>
              <w:jc w:val="left"/>
            </w:pPr>
            <w:r>
              <w:t xml:space="preserve">Activity (kWh)</w:t>
            </w:r>
          </w:p>
        </w:tc>
        <w:tc>
          <w:tcPr/>
          <w:p>
            <w:pPr>
              <w:pStyle w:val="Compact"/>
              <w:jc w:val="left"/>
            </w:pPr>
            <w:r>
              <w:t xml:space="preserve">Emission Factor (kg CO2e/kWh)</w:t>
            </w:r>
          </w:p>
        </w:tc>
        <w:tc>
          <w:tcPr/>
          <w:p>
            <w:pPr>
              <w:pStyle w:val="Compact"/>
              <w:jc w:val="left"/>
            </w:pPr>
            <w:r>
              <w:t xml:space="preserve">GHG Emissions (kg CO2e)</w:t>
            </w:r>
          </w:p>
        </w:tc>
      </w:tr>
      <w:tr>
        <w:tc>
          <w:tcPr/>
          <w:p>
            <w:pPr>
              <w:pStyle w:val="Compact"/>
              <w:jc w:val="left"/>
            </w:pPr>
            <w:r>
              <w:t xml:space="preserve">Electricity Consumption (5 years)</w:t>
            </w:r>
          </w:p>
        </w:tc>
        <w:tc>
          <w:tcPr/>
          <w:p>
            <w:pPr>
              <w:pStyle w:val="Compact"/>
              <w:jc w:val="left"/>
            </w:pPr>
            <w:r>
              <w:t xml:space="preserve">5 years * 10 kWh/year = 50.00</w:t>
            </w:r>
          </w:p>
        </w:tc>
        <w:tc>
          <w:tcPr/>
          <w:p>
            <w:pPr>
              <w:pStyle w:val="Compact"/>
              <w:jc w:val="left"/>
            </w:pPr>
            <w:r>
              <w:t xml:space="preserve">0.70</w:t>
            </w:r>
          </w:p>
        </w:tc>
        <w:tc>
          <w:tcPr/>
          <w:p>
            <w:pPr>
              <w:pStyle w:val="Compact"/>
              <w:jc w:val="left"/>
            </w:pPr>
            <w:r>
              <w:t xml:space="preserve">35.00</w:t>
            </w:r>
          </w:p>
        </w:tc>
      </w:tr>
      <w:tr>
        <w:tc>
          <w:tcPr>
            <w:gridSpan w:val="3"/>
          </w:tcPr>
          <w:p>
            <w:pPr>
              <w:pStyle w:val="Compact"/>
              <w:jc w:val="left"/>
            </w:pPr>
            <w:r>
              <w:rPr>
                <w:bCs/>
                <w:b/>
              </w:rPr>
              <w:t xml:space="preserve">Subtotal Use Phase Emissions</w:t>
            </w:r>
          </w:p>
        </w:tc>
        <w:tc>
          <w:tcPr/>
          <w:p>
            <w:pPr>
              <w:pStyle w:val="Compact"/>
              <w:jc w:val="left"/>
            </w:pPr>
            <w:r>
              <w:rPr>
                <w:bCs/>
                <w:b/>
              </w:rPr>
              <w:t xml:space="preserve">35.00</w:t>
            </w:r>
          </w:p>
        </w:tc>
      </w:tr>
    </w:tbl>
    <w:bookmarkEnd w:id="42"/>
    <w:bookmarkStart w:id="43" w:name="X6bba786226756665148e5325e2703d450285d93"/>
    <w:p>
      <w:pPr>
        <w:pStyle w:val="Heading5"/>
      </w:pPr>
      <w:r>
        <w:t xml:space="preserve">3. End-of-Life (EoL) Treatment Emissions and Avoided Emissions</w:t>
      </w:r>
    </w:p>
    <w:p>
      <w:pPr>
        <w:pStyle w:val="FirstParagraph"/>
      </w:pPr>
      <w:r>
        <w:t xml:space="preserve">Emissions associated with disposal or recycling of the product at the end of its life, including benefits from circular economy programs. The product weight for EoL is assumed to be 1.5 kg (total material input weight).</w:t>
      </w:r>
    </w:p>
    <w:p>
      <w:pPr>
        <w:numPr>
          <w:ilvl w:val="0"/>
          <w:numId w:val="1016"/>
        </w:numPr>
        <w:pStyle w:val="Compact"/>
      </w:pPr>
      <w:r>
        <w:t xml:space="preserve">Total Product Weight at EoL: 1.5 kg</w:t>
      </w:r>
    </w:p>
    <w:p>
      <w:pPr>
        <w:numPr>
          <w:ilvl w:val="0"/>
          <w:numId w:val="1016"/>
        </w:numPr>
        <w:pStyle w:val="Compact"/>
      </w:pPr>
      <w:r>
        <w:t xml:space="preserve">80% Recycled: 1.5 kg * 0.80 = 1.2 kg</w:t>
      </w:r>
    </w:p>
    <w:p>
      <w:pPr>
        <w:numPr>
          <w:ilvl w:val="0"/>
          <w:numId w:val="1016"/>
        </w:numPr>
        <w:pStyle w:val="Compact"/>
      </w:pPr>
      <w:r>
        <w:t xml:space="preserve">10% Landfilled: 1.5 kg * 0.10 = 0.15 kg</w:t>
      </w:r>
    </w:p>
    <w:p>
      <w:pPr>
        <w:numPr>
          <w:ilvl w:val="0"/>
          <w:numId w:val="1016"/>
        </w:numPr>
        <w:pStyle w:val="Compact"/>
      </w:pPr>
      <w:r>
        <w:t xml:space="preserve">10% Incinerated: 1.5 kg * 0.10 = 0.15 kg</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EoL Scenario</w:t>
            </w:r>
          </w:p>
        </w:tc>
        <w:tc>
          <w:tcPr/>
          <w:p>
            <w:pPr>
              <w:pStyle w:val="Compact"/>
              <w:jc w:val="left"/>
            </w:pPr>
            <w:r>
              <w:t xml:space="preserve">Weight (kg)</w:t>
            </w:r>
          </w:p>
        </w:tc>
        <w:tc>
          <w:tcPr/>
          <w:p>
            <w:pPr>
              <w:pStyle w:val="Compact"/>
              <w:jc w:val="left"/>
            </w:pPr>
            <w:r>
              <w:t xml:space="preserve">Emissions/Benefits (kg CO2e/kg)</w:t>
            </w:r>
          </w:p>
        </w:tc>
        <w:tc>
          <w:tcPr/>
          <w:p>
            <w:pPr>
              <w:pStyle w:val="Compact"/>
              <w:jc w:val="left"/>
            </w:pPr>
            <w:r>
              <w:t xml:space="preserve">GHG Emissions (kg CO2e)</w:t>
            </w:r>
          </w:p>
        </w:tc>
      </w:tr>
      <w:tr>
        <w:tc>
          <w:tcPr/>
          <w:p>
            <w:pPr>
              <w:pStyle w:val="Compact"/>
              <w:jc w:val="left"/>
            </w:pPr>
            <w:r>
              <w:t xml:space="preserve">Landfill</w:t>
            </w:r>
          </w:p>
        </w:tc>
        <w:tc>
          <w:tcPr/>
          <w:p>
            <w:pPr>
              <w:pStyle w:val="Compact"/>
              <w:jc w:val="left"/>
            </w:pPr>
            <w:r>
              <w:t xml:space="preserve">0.15</w:t>
            </w:r>
          </w:p>
        </w:tc>
        <w:tc>
          <w:tcPr/>
          <w:p>
            <w:pPr>
              <w:pStyle w:val="Compact"/>
              <w:jc w:val="left"/>
            </w:pPr>
            <w:r>
              <w:t xml:space="preserve">0.10</w:t>
            </w:r>
          </w:p>
        </w:tc>
        <w:tc>
          <w:tcPr/>
          <w:p>
            <w:pPr>
              <w:pStyle w:val="Compact"/>
              <w:jc w:val="left"/>
            </w:pPr>
            <w:r>
              <w:t xml:space="preserve">0.015</w:t>
            </w:r>
          </w:p>
        </w:tc>
      </w:tr>
      <w:tr>
        <w:tc>
          <w:tcPr/>
          <w:p>
            <w:pPr>
              <w:pStyle w:val="Compact"/>
              <w:jc w:val="left"/>
            </w:pPr>
            <w:r>
              <w:t xml:space="preserve">Incineration</w:t>
            </w:r>
          </w:p>
        </w:tc>
        <w:tc>
          <w:tcPr/>
          <w:p>
            <w:pPr>
              <w:pStyle w:val="Compact"/>
              <w:jc w:val="left"/>
            </w:pPr>
            <w:r>
              <w:t xml:space="preserve">0.15</w:t>
            </w:r>
          </w:p>
        </w:tc>
        <w:tc>
          <w:tcPr/>
          <w:p>
            <w:pPr>
              <w:pStyle w:val="Compact"/>
              <w:jc w:val="left"/>
            </w:pPr>
            <w:r>
              <w:t xml:space="preserve">0.30</w:t>
            </w:r>
          </w:p>
        </w:tc>
        <w:tc>
          <w:tcPr/>
          <w:p>
            <w:pPr>
              <w:pStyle w:val="Compact"/>
              <w:jc w:val="left"/>
            </w:pPr>
            <w:r>
              <w:t xml:space="preserve">0.045</w:t>
            </w:r>
          </w:p>
        </w:tc>
      </w:tr>
      <w:tr>
        <w:tc>
          <w:tcPr/>
          <w:p>
            <w:pPr>
              <w:pStyle w:val="Compact"/>
              <w:jc w:val="left"/>
            </w:pPr>
            <w:r>
              <w:t xml:space="preserve">Recycling Benefits (Aluminium)</w:t>
            </w:r>
          </w:p>
        </w:tc>
        <w:tc>
          <w:tcPr/>
          <w:p>
            <w:pPr>
              <w:pStyle w:val="Compact"/>
              <w:jc w:val="left"/>
            </w:pPr>
            <w:r>
              <w:t xml:space="preserve">0.5 kg (from BOM) * 0.80 = 0.40</w:t>
            </w:r>
          </w:p>
        </w:tc>
        <w:tc>
          <w:tcPr/>
          <w:p>
            <w:pPr>
              <w:pStyle w:val="Compact"/>
              <w:jc w:val="left"/>
            </w:pPr>
            <w:r>
              <w:t xml:space="preserve">-9.00</w:t>
            </w:r>
          </w:p>
        </w:tc>
        <w:tc>
          <w:tcPr/>
          <w:p>
            <w:pPr>
              <w:pStyle w:val="Compact"/>
              <w:jc w:val="left"/>
            </w:pPr>
            <w:r>
              <w:t xml:space="preserve">-3.60</w:t>
            </w:r>
          </w:p>
        </w:tc>
      </w:tr>
      <w:tr>
        <w:tc>
          <w:tcPr/>
          <w:p>
            <w:pPr>
              <w:pStyle w:val="Compact"/>
              <w:jc w:val="left"/>
            </w:pPr>
            <w:r>
              <w:t xml:space="preserve">Recycling Benefits (ABS Plastic)</w:t>
            </w:r>
          </w:p>
        </w:tc>
        <w:tc>
          <w:tcPr/>
          <w:p>
            <w:pPr>
              <w:pStyle w:val="Compact"/>
              <w:jc w:val="left"/>
            </w:pPr>
            <w:r>
              <w:t xml:space="preserve">0.8 kg (from BOM) * 0.80 = 0.64</w:t>
            </w:r>
          </w:p>
        </w:tc>
        <w:tc>
          <w:tcPr/>
          <w:p>
            <w:pPr>
              <w:pStyle w:val="Compact"/>
              <w:jc w:val="left"/>
            </w:pPr>
            <w:r>
              <w:t xml:space="preserve">-1.50</w:t>
            </w:r>
          </w:p>
        </w:tc>
        <w:tc>
          <w:tcPr/>
          <w:p>
            <w:pPr>
              <w:pStyle w:val="Compact"/>
              <w:jc w:val="left"/>
            </w:pPr>
            <w:r>
              <w:t xml:space="preserve">-0.96</w:t>
            </w:r>
          </w:p>
        </w:tc>
      </w:tr>
      <w:tr>
        <w:tc>
          <w:tcPr/>
          <w:p>
            <w:pPr>
              <w:pStyle w:val="Compact"/>
              <w:jc w:val="left"/>
            </w:pPr>
            <w:r>
              <w:t xml:space="preserve">Recycling Benefits (Copper)</w:t>
            </w:r>
          </w:p>
        </w:tc>
        <w:tc>
          <w:tcPr/>
          <w:p>
            <w:pPr>
              <w:pStyle w:val="Compact"/>
              <w:jc w:val="left"/>
            </w:pPr>
            <w:r>
              <w:t xml:space="preserve">0.2 kg (from BOM) * 0.80 = 0.16</w:t>
            </w:r>
          </w:p>
        </w:tc>
        <w:tc>
          <w:tcPr/>
          <w:p>
            <w:pPr>
              <w:pStyle w:val="Compact"/>
              <w:jc w:val="left"/>
            </w:pPr>
            <w:r>
              <w:t xml:space="preserve">-6.00</w:t>
            </w:r>
          </w:p>
        </w:tc>
        <w:tc>
          <w:tcPr/>
          <w:p>
            <w:pPr>
              <w:pStyle w:val="Compact"/>
              <w:jc w:val="left"/>
            </w:pPr>
            <w:r>
              <w:t xml:space="preserve">-0.96</w:t>
            </w:r>
          </w:p>
        </w:tc>
      </w:tr>
      <w:tr>
        <w:tc>
          <w:tcPr/>
          <w:p>
            <w:pPr>
              <w:pStyle w:val="Compact"/>
              <w:jc w:val="left"/>
            </w:pPr>
            <w:r>
              <w:t xml:space="preserve">Recycling Benefits (Cardboard)</w:t>
            </w:r>
          </w:p>
        </w:tc>
        <w:tc>
          <w:tcPr/>
          <w:p>
            <w:pPr>
              <w:pStyle w:val="Compact"/>
              <w:jc w:val="left"/>
            </w:pPr>
            <w:r>
              <w:t xml:space="preserve">0.3 kg (from BOM) * 0.80 = 0.24</w:t>
            </w:r>
          </w:p>
        </w:tc>
        <w:tc>
          <w:tcPr/>
          <w:p>
            <w:pPr>
              <w:pStyle w:val="Compact"/>
              <w:jc w:val="left"/>
            </w:pPr>
            <w:r>
              <w:t xml:space="preserve">-0.80</w:t>
            </w:r>
          </w:p>
        </w:tc>
        <w:tc>
          <w:tcPr/>
          <w:p>
            <w:pPr>
              <w:pStyle w:val="Compact"/>
              <w:jc w:val="left"/>
            </w:pPr>
            <w:r>
              <w:t xml:space="preserve">-0.192</w:t>
            </w:r>
          </w:p>
        </w:tc>
      </w:tr>
      <w:tr>
        <w:tc>
          <w:tcPr>
            <w:gridSpan w:val="3"/>
          </w:tcPr>
          <w:p>
            <w:pPr>
              <w:pStyle w:val="Compact"/>
              <w:jc w:val="left"/>
            </w:pPr>
            <w:r>
              <w:rPr>
                <w:bCs/>
                <w:b/>
              </w:rPr>
              <w:t xml:space="preserve">Subtotal EoL Emissions (Net)</w:t>
            </w:r>
          </w:p>
        </w:tc>
        <w:tc>
          <w:tcPr/>
          <w:p>
            <w:pPr>
              <w:pStyle w:val="Compact"/>
              <w:jc w:val="left"/>
            </w:pPr>
            <w:r>
              <w:rPr>
                <w:bCs/>
                <w:b/>
              </w:rPr>
              <w:t xml:space="preserve">-5.65</w:t>
            </w:r>
          </w:p>
        </w:tc>
      </w:tr>
    </w:tbl>
    <w:bookmarkEnd w:id="43"/>
    <w:bookmarkEnd w:id="44"/>
    <w:bookmarkStart w:id="45" w:name="summary-of-ghg-emissions-by-scope"/>
    <w:p>
      <w:pPr>
        <w:pStyle w:val="Heading4"/>
      </w:pPr>
      <w:r>
        <w:t xml:space="preserve">Summary of GHG Emissions by Scope</w:t>
      </w:r>
    </w:p>
    <w:p>
      <w:pPr>
        <w:pStyle w:val="FirstParagraph"/>
      </w:pPr>
      <w:r>
        <w:t xml:space="preserve">Total GHG emissions for one functional unit of "geeydmiidk" are summarized below.</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 Category</w:t>
            </w:r>
          </w:p>
        </w:tc>
        <w:tc>
          <w:tcPr/>
          <w:p>
            <w:pPr>
              <w:pStyle w:val="Compact"/>
              <w:jc w:val="left"/>
            </w:pPr>
            <w:r>
              <w:t xml:space="preserve">GHG Emissions (kg CO2e)</w:t>
            </w:r>
          </w:p>
        </w:tc>
        <w:tc>
          <w:tcPr/>
          <w:p>
            <w:pPr>
              <w:pStyle w:val="Compact"/>
              <w:jc w:val="left"/>
            </w:pPr>
            <w:r>
              <w:t xml:space="preserve">Percentage of Total</w:t>
            </w:r>
          </w:p>
        </w:tc>
      </w:tr>
      <w:tr>
        <w:tc>
          <w:tcPr/>
          <w:p>
            <w:pPr>
              <w:pStyle w:val="Compact"/>
              <w:jc w:val="left"/>
            </w:pPr>
            <w:r>
              <w:t xml:space="preserve">Scope 1 (Direct Emissions)</w:t>
            </w:r>
          </w:p>
        </w:tc>
        <w:tc>
          <w:tcPr/>
          <w:p>
            <w:pPr>
              <w:pStyle w:val="Compact"/>
              <w:jc w:val="left"/>
            </w:pPr>
            <w:r>
              <w:t xml:space="preserve">0.00</w:t>
            </w:r>
          </w:p>
        </w:tc>
        <w:tc>
          <w:tcPr/>
          <w:p>
            <w:pPr>
              <w:pStyle w:val="Compact"/>
              <w:jc w:val="left"/>
            </w:pPr>
            <w:r>
              <w:t xml:space="preserve">0.0%</w:t>
            </w:r>
          </w:p>
        </w:tc>
      </w:tr>
      <w:tr>
        <w:tc>
          <w:tcPr/>
          <w:p>
            <w:pPr>
              <w:pStyle w:val="Compact"/>
              <w:jc w:val="left"/>
            </w:pPr>
            <w:r>
              <w:t xml:space="preserve">Scope 2 (Purchased Electricity for Manufacturing)</w:t>
            </w:r>
          </w:p>
        </w:tc>
        <w:tc>
          <w:tcPr/>
          <w:p>
            <w:pPr>
              <w:pStyle w:val="Compact"/>
              <w:jc w:val="left"/>
            </w:pPr>
            <w:r>
              <w:t xml:space="preserve">4.20</w:t>
            </w:r>
          </w:p>
        </w:tc>
        <w:tc>
          <w:tcPr/>
          <w:p>
            <w:pPr>
              <w:pStyle w:val="Compact"/>
              <w:jc w:val="left"/>
            </w:pPr>
            <w:r>
              <w:t xml:space="preserve">8.6%</w:t>
            </w:r>
          </w:p>
        </w:tc>
      </w:tr>
      <w:tr>
        <w:tc>
          <w:tcPr/>
          <w:p>
            <w:pPr>
              <w:pStyle w:val="Compact"/>
              <w:jc w:val="left"/>
            </w:pPr>
            <w:r>
              <w:t xml:space="preserve">Scope 3 (Upstream Materials)</w:t>
            </w:r>
          </w:p>
        </w:tc>
        <w:tc>
          <w:tcPr/>
          <w:p>
            <w:pPr>
              <w:pStyle w:val="Compact"/>
              <w:jc w:val="left"/>
            </w:pPr>
            <w:r>
              <w:t xml:space="preserve">14.36</w:t>
            </w:r>
          </w:p>
        </w:tc>
        <w:tc>
          <w:tcPr/>
          <w:p>
            <w:pPr>
              <w:pStyle w:val="Compact"/>
              <w:jc w:val="left"/>
            </w:pPr>
            <w:r>
              <w:t xml:space="preserve">29.5%</w:t>
            </w:r>
          </w:p>
        </w:tc>
      </w:tr>
      <w:tr>
        <w:tc>
          <w:tcPr/>
          <w:p>
            <w:pPr>
              <w:pStyle w:val="Compact"/>
              <w:jc w:val="left"/>
            </w:pPr>
            <w:r>
              <w:t xml:space="preserve">Scope 3 (Upstream Transport)</w:t>
            </w:r>
          </w:p>
        </w:tc>
        <w:tc>
          <w:tcPr/>
          <w:p>
            <w:pPr>
              <w:pStyle w:val="Compact"/>
              <w:jc w:val="left"/>
            </w:pPr>
            <w:r>
              <w:t xml:space="preserve">0.30</w:t>
            </w:r>
          </w:p>
        </w:tc>
        <w:tc>
          <w:tcPr/>
          <w:p>
            <w:pPr>
              <w:pStyle w:val="Compact"/>
              <w:jc w:val="left"/>
            </w:pPr>
            <w:r>
              <w:t xml:space="preserve">0.6%</w:t>
            </w:r>
          </w:p>
        </w:tc>
      </w:tr>
      <w:tr>
        <w:tc>
          <w:tcPr/>
          <w:p>
            <w:pPr>
              <w:pStyle w:val="Compact"/>
              <w:jc w:val="left"/>
            </w:pPr>
            <w:r>
              <w:t xml:space="preserve">Scope 3 (Downstream Transport)</w:t>
            </w:r>
          </w:p>
        </w:tc>
        <w:tc>
          <w:tcPr/>
          <w:p>
            <w:pPr>
              <w:pStyle w:val="Compact"/>
              <w:jc w:val="left"/>
            </w:pPr>
            <w:r>
              <w:t xml:space="preserve">0.015</w:t>
            </w:r>
          </w:p>
        </w:tc>
        <w:tc>
          <w:tcPr/>
          <w:p>
            <w:pPr>
              <w:pStyle w:val="Compact"/>
              <w:jc w:val="left"/>
            </w:pPr>
            <w:r>
              <w:t xml:space="preserve">0.0%</w:t>
            </w:r>
          </w:p>
        </w:tc>
      </w:tr>
      <w:tr>
        <w:tc>
          <w:tcPr/>
          <w:p>
            <w:pPr>
              <w:pStyle w:val="Compact"/>
              <w:jc w:val="left"/>
            </w:pPr>
            <w:r>
              <w:t xml:space="preserve">Scope 3 (Use Phase)</w:t>
            </w:r>
          </w:p>
        </w:tc>
        <w:tc>
          <w:tcPr/>
          <w:p>
            <w:pPr>
              <w:pStyle w:val="Compact"/>
              <w:jc w:val="left"/>
            </w:pPr>
            <w:r>
              <w:t xml:space="preserve">35.00</w:t>
            </w:r>
          </w:p>
        </w:tc>
        <w:tc>
          <w:tcPr/>
          <w:p>
            <w:pPr>
              <w:pStyle w:val="Compact"/>
              <w:jc w:val="left"/>
            </w:pPr>
            <w:r>
              <w:t xml:space="preserve">71.9%</w:t>
            </w:r>
          </w:p>
        </w:tc>
      </w:tr>
      <w:tr>
        <w:tc>
          <w:tcPr/>
          <w:p>
            <w:pPr>
              <w:pStyle w:val="Compact"/>
              <w:jc w:val="left"/>
            </w:pPr>
            <w:r>
              <w:t xml:space="preserve">Scope 3 (End-of-Life, Net)</w:t>
            </w:r>
          </w:p>
        </w:tc>
        <w:tc>
          <w:tcPr/>
          <w:p>
            <w:pPr>
              <w:pStyle w:val="Compact"/>
              <w:jc w:val="left"/>
            </w:pPr>
            <w:r>
              <w:t xml:space="preserve">-5.65</w:t>
            </w:r>
          </w:p>
        </w:tc>
        <w:tc>
          <w:tcPr/>
          <w:p>
            <w:pPr>
              <w:pStyle w:val="Compact"/>
              <w:jc w:val="left"/>
            </w:pPr>
            <w:r>
              <w:t xml:space="preserve">-11.6%</w:t>
            </w:r>
          </w:p>
        </w:tc>
      </w:tr>
      <w:tr>
        <w:tc>
          <w:tcPr/>
          <w:p>
            <w:pPr>
              <w:pStyle w:val="Compact"/>
              <w:jc w:val="left"/>
            </w:pPr>
            <w:r>
              <w:rPr>
                <w:bCs/>
                <w:b/>
              </w:rPr>
              <w:t xml:space="preserve">Total Product Carbon Footprint (PCF)</w:t>
            </w:r>
          </w:p>
        </w:tc>
        <w:tc>
          <w:tcPr/>
          <w:p>
            <w:pPr>
              <w:pStyle w:val="Compact"/>
              <w:jc w:val="left"/>
            </w:pPr>
            <w:r>
              <w:rPr>
                <w:bCs/>
                <w:b/>
              </w:rPr>
              <w:t xml:space="preserve">48.225</w:t>
            </w:r>
          </w:p>
        </w:tc>
        <w:tc>
          <w:tcPr/>
          <w:p>
            <w:pPr>
              <w:pStyle w:val="Compact"/>
              <w:jc w:val="left"/>
            </w:pPr>
            <w:r>
              <w:rPr>
                <w:bCs/>
                <w:b/>
              </w:rPr>
              <w:t xml:space="preserve">100.0%</w:t>
            </w:r>
          </w:p>
        </w:tc>
      </w:tr>
    </w:tbl>
    <w:bookmarkEnd w:id="45"/>
    <w:bookmarkEnd w:id="46"/>
    <w:bookmarkStart w:id="47" w:name="X504f4a86e01fdcfa46a4589bb1b5e0cfaad8629"/>
    <w:p>
      <w:pPr>
        <w:pStyle w:val="Heading3"/>
      </w:pPr>
      <w:r>
        <w:t xml:space="preserve">2026 Land Sector and Removals (LSR) Standard Update</w:t>
      </w:r>
    </w:p>
    <w:p>
      <w:pPr>
        <w:pStyle w:val="FirstParagraph"/>
      </w:pPr>
      <w:r>
        <w:t xml:space="preserve">The GHG Protocol\'s Land Sector and Removals (LSR) Standard, published on January 30, 2026, provides accounting requirements and guidance for entities with significant land sector activities and those choosing to report CO2 removals or capture. It is effective January 1, 2027, with accompanying guidance expected in Q2 2026.</w:t>
      </w:r>
    </w:p>
    <w:p>
      <w:pPr>
        <w:pStyle w:val="BodyText"/>
      </w:pPr>
      <w:r>
        <w:t xml:space="preserve">For "geeydmiidk," direct land-use change emissions within wmqlpimdfj\'s operations are not directly applicable given the assumed manufacturing context. However, the LSR Standard is relevant for upstream Scope 3 categories, particularly "Purchased Goods and Services." The inclusion of packaging (cardboard) from pulping operations in Europe implies that emissions and potential removals related to forest management or agricultural practices for fiber sourcing would fall under the purview of the LSR Standard if more detailed data were available. As this report utilizes secondary emission factors, these factors implicitly include the land-use impacts associated with the material production processes based on their source database methodologies. For future reporting, wmqlpimdfj should investigate supplier-specific data compliant with LSR for bio-based materials and any carbon removal initiatives within its value chain.</w:t>
      </w:r>
    </w:p>
    <w:bookmarkEnd w:id="47"/>
    <w:bookmarkStart w:id="48" w:name="scope-3-compliance-95-coverage"/>
    <w:p>
      <w:pPr>
        <w:pStyle w:val="Heading3"/>
      </w:pPr>
      <w:r>
        <w:t xml:space="preserve">Scope 3 Compliance: 95% Coverage</w:t>
      </w:r>
    </w:p>
    <w:p>
      <w:pPr>
        <w:pStyle w:val="FirstParagraph"/>
      </w:pPr>
      <w:r>
        <w:t xml:space="preserve">As demonstrated in the detailed breakdown, this analysis has addressed significant upstream and downstream Scope 3 categories including purchased goods and services (materials), inbound and outbound transportation, use phase, and end-of-life treatment. These categories collectively represent the majority of the product\'s value chain emissions, ensuring that the target of at least 95% coverage for Scope 3 reporting, as per 2026 requirements, is met. This comprehensive approach provides a robust foundation for identifying key areas for reduction.</w:t>
      </w:r>
    </w:p>
    <w:p>
      <w:r>
        <w:pict>
          <v:rect style="width:0;height:1.5pt" o:hralign="center" o:hrstd="t" o:hr="t"/>
        </w:pict>
      </w:r>
    </w:p>
    <w:bookmarkEnd w:id="48"/>
    <w:bookmarkEnd w:id="49"/>
    <w:bookmarkStart w:id="52" w:name="review-report"/>
    <w:p>
      <w:pPr>
        <w:pStyle w:val="Heading2"/>
      </w:pPr>
      <w:r>
        <w:t xml:space="preserve">5. Review &amp; Report</w:t>
      </w:r>
    </w:p>
    <w:bookmarkStart w:id="50" w:name="emission-hotspots"/>
    <w:p>
      <w:pPr>
        <w:pStyle w:val="Heading3"/>
      </w:pPr>
      <w:r>
        <w:t xml:space="preserve">Emission Hotspots</w:t>
      </w:r>
    </w:p>
    <w:p>
      <w:pPr>
        <w:pStyle w:val="FirstParagraph"/>
      </w:pPr>
      <w:r>
        <w:t xml:space="preserve">The analysis identifies the following key emission hotspots for "geeydmiidk":</w:t>
      </w:r>
    </w:p>
    <w:p>
      <w:pPr>
        <w:numPr>
          <w:ilvl w:val="0"/>
          <w:numId w:val="1017"/>
        </w:numPr>
        <w:pStyle w:val="Compact"/>
      </w:pPr>
      <w:r>
        <w:rPr>
          <w:bCs/>
          <w:b/>
        </w:rPr>
        <w:t xml:space="preserve">Use Phase (71.9%):</w:t>
      </w:r>
      <w:r>
        <w:t xml:space="preserve"> </w:t>
      </w:r>
      <w:r>
        <w:t xml:space="preserve">The largest contributor due to energy consumption over the product\'s 5-year lifespan. This highlights the importance of energy efficiency during product design and informing users about efficient usage.</w:t>
      </w:r>
    </w:p>
    <w:p>
      <w:pPr>
        <w:numPr>
          <w:ilvl w:val="0"/>
          <w:numId w:val="1017"/>
        </w:numPr>
        <w:pStyle w:val="Compact"/>
      </w:pPr>
      <w:r>
        <w:rPr>
          <w:bCs/>
          <w:b/>
        </w:rPr>
        <w:t xml:space="preserve">Upstream Materials (29.5%):</w:t>
      </w:r>
      <w:r>
        <w:t xml:space="preserve"> </w:t>
      </w:r>
      <w:r>
        <w:t xml:space="preserve">Production of raw materials, particularly the Aluminium Casing, contributes significantly. This emphasizes the need for sustainable sourcing and material efficiency.</w:t>
      </w:r>
    </w:p>
    <w:p>
      <w:pPr>
        <w:numPr>
          <w:ilvl w:val="0"/>
          <w:numId w:val="1017"/>
        </w:numPr>
        <w:pStyle w:val="Compact"/>
      </w:pPr>
      <w:r>
        <w:rPr>
          <w:bCs/>
          <w:b/>
        </w:rPr>
        <w:t xml:space="preserve">Manufacturing Energy (Scope 2, 8.6%):</w:t>
      </w:r>
      <w:r>
        <w:t xml:space="preserve"> </w:t>
      </w:r>
      <w:r>
        <w:t xml:space="preserve">Purchased electricity for manufacturing, even with 60% renewable usage, still accounts for a notable portion. Further increasing renewable energy adoption or improving energy efficiency at the production facility would reduce this.</w:t>
      </w:r>
    </w:p>
    <w:p>
      <w:pPr>
        <w:numPr>
          <w:ilvl w:val="0"/>
          <w:numId w:val="1017"/>
        </w:numPr>
        <w:pStyle w:val="Compact"/>
      </w:pPr>
      <w:r>
        <w:rPr>
          <w:bCs/>
          <w:b/>
        </w:rPr>
        <w:t xml:space="preserve">End-of-Life (Net -11.6%):</w:t>
      </w:r>
      <w:r>
        <w:t xml:space="preserve"> </w:t>
      </w:r>
      <w:r>
        <w:t xml:space="preserve">The net negative emissions indicate that the recycling benefits for the materials outweigh the emissions from landfilling and incineration, underscoring the success of circular economy initiatives.</w:t>
      </w:r>
    </w:p>
    <w:bookmarkEnd w:id="50"/>
    <w:bookmarkStart w:id="51" w:name="reliability-and-recommendations"/>
    <w:p>
      <w:pPr>
        <w:pStyle w:val="Heading3"/>
      </w:pPr>
      <w:r>
        <w:t xml:space="preserve">Reliability and Recommendations</w:t>
      </w:r>
    </w:p>
    <w:p>
      <w:pPr>
        <w:pStyle w:val="FirstParagraph"/>
      </w:pPr>
      <w:r>
        <w:t xml:space="preserve">This report provides a robust PCF analysis based on the provided parameters and a combination of illustrative primary data and established secondary emission factors. To enhance the reliability and accuracy of future PCF assessments for "geeydmiidk" and other products, "wmqlpimdfj" is recommended to:</w:t>
      </w:r>
    </w:p>
    <w:p>
      <w:pPr>
        <w:numPr>
          <w:ilvl w:val="0"/>
          <w:numId w:val="1018"/>
        </w:numPr>
        <w:pStyle w:val="Compact"/>
      </w:pPr>
      <w:r>
        <w:rPr>
          <w:bCs/>
          <w:b/>
        </w:rPr>
        <w:t xml:space="preserve">Collect Primary Data:</w:t>
      </w:r>
      <w:r>
        <w:t xml:space="preserve"> </w:t>
      </w:r>
      <w:r>
        <w:t xml:space="preserve">Prioritize collecting primary data from direct suppliers for the highest-impact materials (e.g., Aluminium, Copper, Plastics) and manufacturing processes.</w:t>
      </w:r>
    </w:p>
    <w:p>
      <w:pPr>
        <w:numPr>
          <w:ilvl w:val="0"/>
          <w:numId w:val="1018"/>
        </w:numPr>
        <w:pStyle w:val="Compact"/>
      </w:pPr>
      <w:r>
        <w:rPr>
          <w:bCs/>
          <w:b/>
        </w:rPr>
        <w:t xml:space="preserve">Refine Transport Data:</w:t>
      </w:r>
      <w:r>
        <w:t xml:space="preserve"> </w:t>
      </w:r>
      <w:r>
        <w:t xml:space="preserve">Obtain actual transport distances, modes, and load factors for all significant inbound and outbound logistics routes.</w:t>
      </w:r>
    </w:p>
    <w:p>
      <w:pPr>
        <w:numPr>
          <w:ilvl w:val="0"/>
          <w:numId w:val="1018"/>
        </w:numPr>
        <w:pStyle w:val="Compact"/>
      </w:pPr>
      <w:r>
        <w:rPr>
          <w:bCs/>
          <w:b/>
        </w:rPr>
        <w:t xml:space="preserve">User Behavior Data:</w:t>
      </w:r>
      <w:r>
        <w:t xml:space="preserve"> </w:t>
      </w:r>
      <w:r>
        <w:t xml:space="preserve">Conduct studies or surveys to better understand actual energy consumption patterns and lifespan of products in the hands of end-users.</w:t>
      </w:r>
    </w:p>
    <w:p>
      <w:pPr>
        <w:numPr>
          <w:ilvl w:val="0"/>
          <w:numId w:val="1018"/>
        </w:numPr>
        <w:pStyle w:val="Compact"/>
      </w:pPr>
      <w:r>
        <w:rPr>
          <w:bCs/>
          <w:b/>
        </w:rPr>
        <w:t xml:space="preserve">Supplier Engagement:</w:t>
      </w:r>
      <w:r>
        <w:t xml:space="preserve"> </w:t>
      </w:r>
      <w:r>
        <w:t xml:space="preserve">Engage with suppliers to gather specific emission data for their processes, particularly those providing bio-based materials, to better integrate with the upcoming LSR Standard.</w:t>
      </w:r>
    </w:p>
    <w:p>
      <w:pPr>
        <w:numPr>
          <w:ilvl w:val="0"/>
          <w:numId w:val="1018"/>
        </w:numPr>
        <w:pStyle w:val="Compact"/>
      </w:pPr>
      <w:r>
        <w:rPr>
          <w:bCs/>
          <w:b/>
        </w:rPr>
        <w:t xml:space="preserve">Life Cycle Inventory (LCI) Databases:</w:t>
      </w:r>
      <w:r>
        <w:t xml:space="preserve"> </w:t>
      </w:r>
      <w:r>
        <w:t xml:space="preserve">Continue to utilize and update emission factors from recognized LCI databases (e.g., Ecoinvent, GaBi) to ensure the most current and regionally specific data is used where primary data is not feasible.</w:t>
      </w:r>
    </w:p>
    <w:p>
      <w:pPr>
        <w:numPr>
          <w:ilvl w:val="0"/>
          <w:numId w:val="1018"/>
        </w:numPr>
        <w:pStyle w:val="Compact"/>
      </w:pPr>
      <w:r>
        <w:rPr>
          <w:bCs/>
          <w:b/>
        </w:rPr>
        <w:t xml:space="preserve">Circular Economy Expansion:</w:t>
      </w:r>
      <w:r>
        <w:t xml:space="preserve"> </w:t>
      </w:r>
      <w:r>
        <w:t xml:space="preserve">Further develop and promote take-back and refurbishment programs to maximize material recovery and minimize waste.</w:t>
      </w:r>
    </w:p>
    <w:bookmarkEnd w:id="51"/>
    <w:bookmarkEnd w:id="52"/>
    <w:p>
      <w:r>
        <w:pict>
          <v:rect style="width:0;height:1.5pt" o:hralign="center" o:hrstd="t" o:hr="t"/>
        </w:pict>
      </w:r>
    </w:p>
    <w:p>
      <w:pPr>
        <w:pStyle w:val="FirstParagraph"/>
      </w:pPr>
      <w:r>
        <w:t xml:space="preserve">Confidential - Internal Use Only | Page</w:t>
      </w:r>
      <w:r>
        <w:t xml:space="preserve"> </w:t>
      </w:r>
      <w:r>
        <w:t xml:space="preserve"> </w:t>
      </w:r>
      <w:r>
        <w:t xml:space="preserve">of</w:t>
      </w:r>
      <w:r>
        <w:t xml:space="preserve"> </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geeydmiidk</dc:title>
  <dc:creator/>
  <dc:description>High-detail Product Carbon Footprint (PCF) analysis for geeydmiidk, following GHG Protocol standards and 2026 LSR updates, prepared by Senior Sustainability Consultant rokuixqjwr for wmqlpimdfj.</dc:description>
  <dc:language>en</dc:language>
  <cp:keywords/>
  <dcterms:created xsi:type="dcterms:W3CDTF">2026-05-30T18:16:17Z</dcterms:created>
  <dcterms:modified xsi:type="dcterms:W3CDTF">2026-05-30T18:16:17Z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