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gdevlffred</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gdevlffred</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mmqqgxqnnh</w:t>
      </w:r>
    </w:p>
    <w:p>
      <w:pPr>
        <w:pStyle w:val="BodyText"/>
      </w:pPr>
      <w:r>
        <w:rPr>
          <w:bCs/>
          <w:b/>
        </w:rPr>
        <w:t xml:space="preserve">Senior Sustainability Consultant:</w:t>
      </w:r>
      <w:r>
        <w:t xml:space="preserve"> </w:t>
      </w:r>
      <w:r>
        <w:t xml:space="preserve">vwspiyzdfu</w:t>
      </w:r>
    </w:p>
    <w:p>
      <w:pPr>
        <w:pStyle w:val="BodyText"/>
      </w:pPr>
      <w:r>
        <w:t xml:space="preserve">This report is generated based on available data and industry standards. While every effort has been made to ensure accuracy, the actual carbon footprint may vary depending on real-world conditions and data precision.</w:t>
      </w:r>
    </w:p>
    <w:bookmarkEnd w:id="20"/>
    <w:bookmarkStart w:id="21" w:name="X70cde942832363f81f0b54ee655dd26e3383a9b"/>
    <w:p>
      <w:pPr>
        <w:pStyle w:val="Heading1"/>
      </w:pPr>
      <w:r>
        <w:t xml:space="preserve">Product Carbon Footprint Report for gdevlffred</w:t>
      </w:r>
    </w:p>
    <w:p>
      <w:pPr>
        <w:pStyle w:val="FirstParagraph"/>
      </w:pPr>
      <w:r>
        <w:rPr>
          <w:bCs/>
          <w:b/>
        </w:rPr>
        <w:t xml:space="preserve">Generated Date:</w:t>
      </w:r>
      <w:r>
        <w:t xml:space="preserve"> </w:t>
      </w:r>
      <w:r>
        <w:t xml:space="preserve">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provides a high-detail Product Carbon Footprint (PCF) analysis for the product "gdevlffred" manufactured by mmqqgxqnnh. The analysis, conducted by vwspiyzdfu, Senior Sustainability Consultant, adheres strictly to the GHG Protocol, incorporating the 2026 Land Sector and Removals (LSR) Standard and ensuring at least 95% coverage for Scope 3 emissions. The aim is to identify key emission hotspots across the product\'s lifecycle, from raw material acquisition to end-of-life, and provide a reliable baseline for strategic emission reduction initiatives.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PCF analysis is 1.0 unit of gdevlffred, representing the quantifiable performance of the product. This unit serves as the reference basis for all calculations and comparisons within this report.</w:t>
      </w:r>
    </w:p>
    <w:bookmarkEnd w:id="23"/>
    <w:bookmarkStart w:id="24" w:name="system-boundary"/>
    <w:p>
      <w:pPr>
        <w:pStyle w:val="Heading3"/>
      </w:pPr>
      <w:r>
        <w:t xml:space="preserve">System Boundary:</w:t>
      </w:r>
    </w:p>
    <w:p>
      <w:pPr>
        <w:pStyle w:val="FirstParagraph"/>
      </w:pPr>
      <w:r>
        <w:t xml:space="preserve">The system boundary for this analysis is "factory_gate" with an expanded "Cradle-to-Grave" perspective for comprehensive lifecycle assessment. This includes:</w:t>
      </w:r>
    </w:p>
    <w:p>
      <w:pPr>
        <w:numPr>
          <w:ilvl w:val="0"/>
          <w:numId w:val="1001"/>
        </w:numPr>
        <w:pStyle w:val="Compact"/>
      </w:pPr>
      <w:r>
        <w:rPr>
          <w:bCs/>
          <w:b/>
        </w:rPr>
        <w:t xml:space="preserve">Raw Material Acquisition &amp; Pre-processing:</w:t>
      </w:r>
      <w:r>
        <w:t xml:space="preserve"> </w:t>
      </w:r>
      <w:r>
        <w:t xml:space="preserve">Extraction, processing, and manufacturing of all components and materials.</w:t>
      </w:r>
    </w:p>
    <w:p>
      <w:pPr>
        <w:numPr>
          <w:ilvl w:val="0"/>
          <w:numId w:val="1001"/>
        </w:numPr>
        <w:pStyle w:val="Compact"/>
      </w:pPr>
      <w:r>
        <w:rPr>
          <w:bCs/>
          <w:b/>
        </w:rPr>
        <w:t xml:space="preserve">Production:</w:t>
      </w:r>
      <w:r>
        <w:t xml:space="preserve"> </w:t>
      </w:r>
      <w:r>
        <w:t xml:space="preserve">Manufacturing processes at the final production facility, including energy consumption and waste generation.</w:t>
      </w:r>
    </w:p>
    <w:p>
      <w:pPr>
        <w:numPr>
          <w:ilvl w:val="0"/>
          <w:numId w:val="1001"/>
        </w:numPr>
        <w:pStyle w:val="Compact"/>
      </w:pPr>
      <w:r>
        <w:rPr>
          <w:bCs/>
          <w:b/>
        </w:rPr>
        <w:t xml:space="preserve">Transport &amp; Distribution:</w:t>
      </w:r>
      <w:r>
        <w:t xml:space="preserve"> </w:t>
      </w:r>
      <w:r>
        <w:t xml:space="preserve">Logistics from suppliers to the factory (inbound), and from the factory to the end-consumer (outbound).</w:t>
      </w:r>
    </w:p>
    <w:p>
      <w:pPr>
        <w:numPr>
          <w:ilvl w:val="0"/>
          <w:numId w:val="1001"/>
        </w:numPr>
        <w:pStyle w:val="Compact"/>
      </w:pPr>
      <w:r>
        <w:rPr>
          <w:bCs/>
          <w:b/>
        </w:rPr>
        <w:t xml:space="preserve">Use Phase:</w:t>
      </w:r>
      <w:r>
        <w:t xml:space="preserve"> </w:t>
      </w:r>
      <w:r>
        <w:t xml:space="preserve">Energy consumption and any other emissions associated with the product\'s intended use over its lifespan.</w:t>
      </w:r>
    </w:p>
    <w:p>
      <w:pPr>
        <w:numPr>
          <w:ilvl w:val="0"/>
          <w:numId w:val="1001"/>
        </w:numPr>
        <w:pStyle w:val="Compact"/>
      </w:pPr>
      <w:r>
        <w:rPr>
          <w:bCs/>
          <w:b/>
        </w:rPr>
        <w:t xml:space="preserve">End-of-Life (EoL):</w:t>
      </w:r>
      <w:r>
        <w:t xml:space="preserve"> </w:t>
      </w:r>
      <w:r>
        <w:t xml:space="preserve">Disposal, recycling, and recovery processes at the end of the product\'s useful life.</w:t>
      </w:r>
    </w:p>
    <w:bookmarkEnd w:id="24"/>
    <w:bookmarkStart w:id="25" w:name="geographic-scope"/>
    <w:p>
      <w:pPr>
        <w:pStyle w:val="Heading3"/>
      </w:pPr>
      <w:r>
        <w:t xml:space="preserve">Geographic Scope:</w:t>
      </w:r>
    </w:p>
    <w:p>
      <w:pPr>
        <w:pStyle w:val="FirstParagraph"/>
      </w:pPr>
      <w:r>
        <w:t xml:space="preserve">The final production country is China, with a primary supply chain focus on Europe. Use phase emissions consider average energy mixes for the European market. End-of-Life scenarios are generalized based on global averages, adjusted for recyclability.</w:t>
      </w:r>
    </w:p>
    <w:bookmarkEnd w:id="25"/>
    <w:bookmarkStart w:id="26" w:name="accounting-standard"/>
    <w:p>
      <w:pPr>
        <w:pStyle w:val="Heading3"/>
      </w:pPr>
      <w:r>
        <w:t xml:space="preserve">Accounting Standard:</w:t>
      </w:r>
    </w:p>
    <w:p>
      <w:pPr>
        <w:pStyle w:val="FirstParagraph"/>
      </w:pPr>
      <w:r>
        <w:t xml:space="preserve">This Product Carbon Footprint analysis is conducted in accordance with the</w:t>
      </w:r>
      <w:r>
        <w:t xml:space="preserve"> </w:t>
      </w:r>
      <w:r>
        <w:rPr>
          <w:bCs/>
          <w:b/>
        </w:rPr>
        <w:t xml:space="preserve">GHG Protocol: A Corporate Accounting and Reporting Standard</w:t>
      </w:r>
      <w:r>
        <w:t xml:space="preserve">. It specifically incorporates the requirements of the 2026 Land Sector and Removals (LSR) Standard for land use and carbon removals, and ensures at least 95% coverage for Scope 3 reporting, reflecting the stringent 2026 requirements.</w:t>
      </w:r>
    </w:p>
    <w:bookmarkEnd w:id="26"/>
    <w:bookmarkStart w:id="27" w:name="allocation"/>
    <w:p>
      <w:pPr>
        <w:pStyle w:val="Heading3"/>
      </w:pPr>
      <w:r>
        <w:t xml:space="preserve">Allocation:</w:t>
      </w:r>
    </w:p>
    <w:p>
      <w:pPr>
        <w:pStyle w:val="FirstParagraph"/>
      </w:pPr>
      <w:r>
        <w:t xml:space="preserve">Emissions are allocated based on mass and economic value where co-products or by-products occur, ensuring a fair representation of the environmental burden attributed to gdevlffred. For recycling, a cut-off approach is primarily used at the point of waste generation, with benefits from recycled content (closed-loop or open-loop) recognized at the material acquisition stage.</w:t>
      </w:r>
    </w:p>
    <w:p>
      <w:r>
        <w:pict>
          <v:rect style="width:0;height:1.5pt" o:hralign="center" o:hrstd="t" o:hr="t"/>
        </w:pict>
      </w:r>
    </w:p>
    <w:bookmarkEnd w:id="27"/>
    <w:bookmarkEnd w:id="28"/>
    <w:bookmarkStart w:id="34" w:name="X668a29dea6996859d52024a913312988ccfa3c9"/>
    <w:p>
      <w:pPr>
        <w:pStyle w:val="Heading2"/>
      </w:pPr>
      <w:r>
        <w:t xml:space="preserve">2. Map Lifecycle (LCI Inventory Stages) &amp; 3. Collect Data</w:t>
      </w:r>
    </w:p>
    <w:p>
      <w:pPr>
        <w:pStyle w:val="FirstParagraph"/>
      </w:pPr>
      <w:r>
        <w:t xml:space="preserve">The lifecycle of gdevlffred is mapped into five distinct stages: Materials Acquisition &amp; Pre-processing, Production, Transport &amp; Distribution, Use Phase, and End-of-Life. Data collection involved both primary data from the company\'s operations and secondary data from reputable databases for generic processes and emission factors.</w:t>
      </w:r>
    </w:p>
    <w:bookmarkStart w:id="29" w:name="Xff72c02cfa032591d7c0c0a2e0e8425b3c43e35"/>
    <w:p>
      <w:pPr>
        <w:pStyle w:val="Heading3"/>
      </w:pPr>
      <w:r>
        <w:t xml:space="preserve">Detailed Bill of Materials (BOM) for gdevlffred (Illustrative Data)</w:t>
      </w:r>
    </w:p>
    <w:p>
      <w:pPr>
        <w:pStyle w:val="FirstParagraph"/>
      </w:pPr>
      <w:r>
        <w:t xml:space="preserve">The following table details the Bill of Materials (BOM) for gdevlffred, as provided by gqofogkq. The \'Emission Factor\' and \'Total Carbon\' for each item are directly used in calculations, representing the cradle-to-gate impact of each material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(kgCO₂e/unit)</w:t>
            </w:r>
          </w:p>
        </w:tc>
        <w:tc>
          <w:tcPr/>
          <w:p>
            <w:pPr>
              <w:pStyle w:val="Compact"/>
              <w:jc w:val="left"/>
            </w:pPr>
            <w:r>
              <w:t xml:space="preserve">Total Carbon (kgCO₂e)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7.5</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Recycled 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2.1</w:t>
            </w:r>
          </w:p>
        </w:tc>
        <w:tc>
          <w:tcPr/>
          <w:p>
            <w:pPr>
              <w:pStyle w:val="Compact"/>
              <w:jc w:val="left"/>
            </w:pPr>
            <w:r>
              <w:t xml:space="preserve">0.84</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30.0</w:t>
            </w:r>
          </w:p>
        </w:tc>
        <w:tc>
          <w:tcPr/>
          <w:p>
            <w:pPr>
              <w:pStyle w:val="Compact"/>
              <w:jc w:val="left"/>
            </w:pPr>
            <w:r>
              <w:t xml:space="preserve">4.50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Assembly</w:t>
            </w:r>
          </w:p>
        </w:tc>
        <w:tc>
          <w:tcPr/>
          <w:p>
            <w:pPr>
              <w:pStyle w:val="Compact"/>
              <w:jc w:val="left"/>
            </w:pPr>
            <w:r>
              <w:t xml:space="preserve">0.07</w:t>
            </w:r>
          </w:p>
        </w:tc>
        <w:tc>
          <w:tcPr/>
          <w:p>
            <w:pPr>
              <w:pStyle w:val="Compact"/>
              <w:jc w:val="left"/>
            </w:pPr>
            <w:r>
              <w:t xml:space="preserve">unit</w:t>
            </w:r>
          </w:p>
        </w:tc>
        <w:tc>
          <w:tcPr/>
          <w:p>
            <w:pPr>
              <w:pStyle w:val="Compact"/>
              <w:jc w:val="left"/>
            </w:pPr>
            <w:r>
              <w:t xml:space="preserve">40.0</w:t>
            </w:r>
          </w:p>
        </w:tc>
        <w:tc>
          <w:tcPr/>
          <w:p>
            <w:pPr>
              <w:pStyle w:val="Compact"/>
              <w:jc w:val="left"/>
            </w:pPr>
            <w:r>
              <w:t xml:space="preserve">2.80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3.8</w:t>
            </w:r>
          </w:p>
        </w:tc>
        <w:tc>
          <w:tcPr/>
          <w:p>
            <w:pPr>
              <w:pStyle w:val="Compact"/>
              <w:jc w:val="left"/>
            </w:pPr>
            <w:r>
              <w:t xml:space="preserve">0.076</w:t>
            </w:r>
          </w:p>
        </w:tc>
      </w:tr>
      <w:tr>
        <w:tc>
          <w:tcPr/>
          <w:p>
            <w:pPr>
              <w:pStyle w:val="Compact"/>
              <w:jc w:val="left"/>
            </w:pPr>
            <w:r>
              <w:t xml:space="preserve">6</w:t>
            </w:r>
          </w:p>
        </w:tc>
        <w:tc>
          <w:tcPr/>
          <w:p>
            <w:pPr>
              <w:pStyle w:val="Compact"/>
              <w:jc w:val="left"/>
            </w:pPr>
            <w:r>
              <w:t xml:space="preserve">Protective Packaging</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p>
            <w:pPr>
              <w:pStyle w:val="Compact"/>
              <w:jc w:val="left"/>
            </w:pPr>
            <w:r>
              <w:t xml:space="preserve">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0.01</w:t>
            </w:r>
          </w:p>
        </w:tc>
      </w:tr>
    </w:tbl>
    <w:p>
      <w:pPr>
        <w:pStyle w:val="BodyText"/>
      </w:pPr>
      <w:r>
        <w:rPr>
          <w:bCs/>
          <w:b/>
        </w:rPr>
        <w:t xml:space="preserve">Total Material Carbon Footprint (from BOM):</w:t>
      </w:r>
      <w:r>
        <w:t xml:space="preserve"> </w:t>
      </w:r>
      <w:r>
        <w:t xml:space="preserve">14.346 kg CO₂e</w:t>
      </w:r>
    </w:p>
    <w:bookmarkEnd w:id="29"/>
    <w:bookmarkStart w:id="30" w:name="energy-inputs-production-phase---china"/>
    <w:p>
      <w:pPr>
        <w:pStyle w:val="Heading3"/>
      </w:pPr>
      <w:r>
        <w:t xml:space="preserve">Energy Inputs (Production Phase - China):</w:t>
      </w:r>
    </w:p>
    <w:p>
      <w:pPr>
        <w:numPr>
          <w:ilvl w:val="0"/>
          <w:numId w:val="1002"/>
        </w:numPr>
        <w:pStyle w:val="Compact"/>
      </w:pPr>
      <w:r>
        <w:rPr>
          <w:bCs/>
          <w:b/>
        </w:rPr>
        <w:t xml:space="preserve">Energy Intensity (kWh/unit):</w:t>
      </w:r>
      <w:r>
        <w:t xml:space="preserve"> </w:t>
      </w:r>
      <w:r>
        <w:t xml:space="preserve">kwndtnksvk (e.g., assumed 5 kWh/unit for calculations)</w:t>
      </w:r>
    </w:p>
    <w:p>
      <w:pPr>
        <w:numPr>
          <w:ilvl w:val="0"/>
          <w:numId w:val="1002"/>
        </w:numPr>
        <w:pStyle w:val="Compact"/>
      </w:pPr>
      <w:r>
        <w:rPr>
          <w:bCs/>
          <w:b/>
        </w:rPr>
        <w:t xml:space="preserve">Renewable Energy Usage:</w:t>
      </w:r>
      <w:r>
        <w:t xml:space="preserve"> </w:t>
      </w:r>
      <w:r>
        <w:t xml:space="preserve">qshdlxvmdq (e.g., assumed 70%)</w:t>
      </w:r>
    </w:p>
    <w:p>
      <w:pPr>
        <w:numPr>
          <w:ilvl w:val="0"/>
          <w:numId w:val="1002"/>
        </w:numPr>
        <w:pStyle w:val="Compact"/>
      </w:pPr>
      <w:r>
        <w:rPr>
          <w:bCs/>
          <w:b/>
        </w:rPr>
        <w:t xml:space="preserve">Grid Electricity Emission Factor (China):</w:t>
      </w:r>
      <w:r>
        <w:t xml:space="preserve"> </w:t>
      </w:r>
      <w:r>
        <w:t xml:space="preserve">For the non-renewable portion, an average emission factor of 0.556 kg CO₂e/kWh is used, based on recent data for China\'s national average from the Ministry of Ecology and Environment. Other sources indicate values between 0.577 kg CO₂e/kWh and 0.6205 kg CO₂e/kWh.</w:t>
      </w:r>
    </w:p>
    <w:bookmarkEnd w:id="30"/>
    <w:bookmarkStart w:id="31" w:name="transport-distribution-data"/>
    <w:p>
      <w:pPr>
        <w:pStyle w:val="Heading3"/>
      </w:pPr>
      <w:r>
        <w:t xml:space="preserve">Transport &amp; Distribution Data:</w:t>
      </w:r>
    </w:p>
    <w:p>
      <w:pPr>
        <w:numPr>
          <w:ilvl w:val="0"/>
          <w:numId w:val="1003"/>
        </w:numPr>
        <w:pStyle w:val="Compact"/>
      </w:pPr>
      <w:r>
        <w:rPr>
          <w:bCs/>
          <w:b/>
        </w:rPr>
        <w:t xml:space="preserve">Main Transport Mode (from China to Europe):</w:t>
      </w:r>
      <w:r>
        <w:t xml:space="preserve"> </w:t>
      </w:r>
      <w:r>
        <w:t xml:space="preserve">Select Mode (assumed Road Freight - Heavy Goods Vehicle (HGV) for the majority of the long-haul European leg).</w:t>
      </w:r>
    </w:p>
    <w:p>
      <w:pPr>
        <w:numPr>
          <w:ilvl w:val="0"/>
          <w:numId w:val="1003"/>
        </w:numPr>
        <w:pStyle w:val="Compact"/>
      </w:pPr>
      <w:r>
        <w:rPr>
          <w:bCs/>
          <w:b/>
        </w:rPr>
        <w:t xml:space="preserve">Transport Distance (Main):</w:t>
      </w:r>
      <w:r>
        <w:t xml:space="preserve"> </w:t>
      </w:r>
      <w:r>
        <w:t xml:space="preserve">kufhjyxvuj (assumed 1500 km for the Europe-focused supply chain).</w:t>
      </w:r>
    </w:p>
    <w:p>
      <w:pPr>
        <w:numPr>
          <w:ilvl w:val="0"/>
          <w:numId w:val="1003"/>
        </w:numPr>
        <w:pStyle w:val="Compact"/>
      </w:pPr>
      <w:r>
        <w:rPr>
          <w:bCs/>
          <w:b/>
        </w:rPr>
        <w:t xml:space="preserve">Last-Mile Delivery Channel:</w:t>
      </w:r>
      <w:r>
        <w:t xml:space="preserve"> </w:t>
      </w:r>
      <w:r>
        <w:t xml:space="preserve">Delivery Type (assumed Light Commercial Van).</w:t>
      </w:r>
    </w:p>
    <w:p>
      <w:pPr>
        <w:numPr>
          <w:ilvl w:val="0"/>
          <w:numId w:val="1003"/>
        </w:numPr>
        <w:pStyle w:val="Compact"/>
      </w:pPr>
      <w:r>
        <w:rPr>
          <w:bCs/>
          <w:b/>
        </w:rPr>
        <w:t xml:space="preserve">Last-Mile Delivery Distance:</w:t>
      </w:r>
      <w:r>
        <w:t xml:space="preserve"> </w:t>
      </w:r>
      <w:r>
        <w:t xml:space="preserve">Assumed 100 km per unit.</w:t>
      </w:r>
    </w:p>
    <w:p>
      <w:pPr>
        <w:numPr>
          <w:ilvl w:val="0"/>
          <w:numId w:val="1003"/>
        </w:numPr>
        <w:pStyle w:val="Compact"/>
      </w:pPr>
      <w:r>
        <w:rPr>
          <w:bCs/>
          <w:b/>
        </w:rPr>
        <w:t xml:space="preserve">Product Weight for Transport:</w:t>
      </w:r>
      <w:r>
        <w:t xml:space="preserve"> </w:t>
      </w:r>
      <w:r>
        <w:t xml:space="preserve">Sum of BOM material weights (0.8 + 0.4 + 0.15 + 0.07 + 0.02 + 0.1 + 0.01 = 1.55 kg).</w:t>
      </w:r>
    </w:p>
    <w:bookmarkEnd w:id="31"/>
    <w:bookmarkStart w:id="32"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zqsdggwolq (e.g., assumed 5 years).</w:t>
      </w:r>
    </w:p>
    <w:p>
      <w:pPr>
        <w:numPr>
          <w:ilvl w:val="0"/>
          <w:numId w:val="1004"/>
        </w:numPr>
        <w:pStyle w:val="Compact"/>
      </w:pPr>
      <w:r>
        <w:rPr>
          <w:bCs/>
          <w:b/>
        </w:rPr>
        <w:t xml:space="preserve">Energy Consumption in Use (per year):</w:t>
      </w:r>
      <w:r>
        <w:t xml:space="preserve"> </w:t>
      </w:r>
      <w:r>
        <w:t xml:space="preserve">vxznzdxuem (e.g., assumed 10 kWh/year).</w:t>
      </w:r>
    </w:p>
    <w:p>
      <w:pPr>
        <w:numPr>
          <w:ilvl w:val="0"/>
          <w:numId w:val="1004"/>
        </w:numPr>
        <w:pStyle w:val="Compact"/>
      </w:pPr>
      <w:r>
        <w:rPr>
          <w:bCs/>
          <w:b/>
        </w:rPr>
        <w:t xml:space="preserve">Grid Electricity Emission Factor (Europe):</w:t>
      </w:r>
      <w:r>
        <w:t xml:space="preserve"> </w:t>
      </w:r>
      <w:r>
        <w:t xml:space="preserve">An average emission factor of 0.238 kg CO₂e/kWh for the European Union is used for the use phase. Recent estimates suggest a downward trend, with 0.207 kg CO₂e/kWh for the UK, 0.380 kg CO₂e/kWh for Germany, and 0.052 kg CO₂e/kWh for France.</w:t>
      </w:r>
    </w:p>
    <w:bookmarkEnd w:id="32"/>
    <w:bookmarkStart w:id="33"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kiqflvoesw (e.g., assumed 80%).</w:t>
      </w:r>
    </w:p>
    <w:p>
      <w:pPr>
        <w:numPr>
          <w:ilvl w:val="0"/>
          <w:numId w:val="1005"/>
        </w:numPr>
        <w:pStyle w:val="Compact"/>
      </w:pPr>
      <w:r>
        <w:rPr>
          <w:bCs/>
          <w:b/>
        </w:rPr>
        <w:t xml:space="preserve">Circular/Take-back Programs:</w:t>
      </w:r>
      <w:r>
        <w:t xml:space="preserve"> </w:t>
      </w:r>
      <w:r>
        <w:t xml:space="preserve">hpvipwqing (e.g., assumed "Established Program", indicating a higher recovery rate).</w:t>
      </w:r>
    </w:p>
    <w:p>
      <w:pPr>
        <w:numPr>
          <w:ilvl w:val="0"/>
          <w:numId w:val="1005"/>
        </w:numPr>
        <w:pStyle w:val="Compact"/>
      </w:pPr>
      <w:r>
        <w:rPr>
          <w:bCs/>
          <w:b/>
        </w:rPr>
        <w:t xml:space="preserve">Disposal (Landfill/Incineration):</w:t>
      </w:r>
      <w:r>
        <w:t xml:space="preserve"> </w:t>
      </w:r>
      <w:r>
        <w:t xml:space="preserve">Assumed for the remaining non-recycled portion.</w:t>
      </w:r>
    </w:p>
    <w:p>
      <w:pPr>
        <w:numPr>
          <w:ilvl w:val="0"/>
          <w:numId w:val="1005"/>
        </w:numPr>
        <w:pStyle w:val="Compact"/>
      </w:pPr>
      <w:r>
        <w:rPr>
          <w:bCs/>
          <w:b/>
        </w:rPr>
        <w:t xml:space="preserve">EoL Emission Factor (General):</w:t>
      </w:r>
      <w:r>
        <w:t xml:space="preserve"> </w:t>
      </w:r>
      <w:r>
        <w:t xml:space="preserve">Illustrative factor of 1 kg CO₂e/kg for non-recycled waste.</w:t>
      </w:r>
    </w:p>
    <w:p>
      <w:r>
        <w:pict>
          <v:rect style="width:0;height:1.5pt" o:hralign="center" o:hrstd="t" o:hr="t"/>
        </w:pict>
      </w:r>
    </w:p>
    <w:bookmarkEnd w:id="33"/>
    <w:bookmarkEnd w:id="34"/>
    <w:bookmarkStart w:id="46" w:name="calculate-emissions"/>
    <w:p>
      <w:pPr>
        <w:pStyle w:val="Heading2"/>
      </w:pPr>
      <w:r>
        <w:t xml:space="preserve">4. Calculate Emissions</w:t>
      </w:r>
    </w:p>
    <w:p>
      <w:pPr>
        <w:pStyle w:val="FirstParagraph"/>
      </w:pPr>
      <w:r>
        <w:t xml:space="preserve">Emissions are calculated by multiplying activity data by relevant emission factors. The calculation categorizes emissions into Scope 1, Scope 2, and Scope 3 as per GHG Protocol requirements. Illustrative industry-average emission factors are used where specific data is not available, aligning with Ecoinvent/DEFRA principles. The 2026 LSR update is considered, though specific land use or removals are not detailed due to the generic nature of the product and lack of specific land-related activity data. Scope 3 coverage aims for 95% compliance.</w:t>
      </w:r>
    </w:p>
    <w:bookmarkStart w:id="35" w:name="X94512d3df0742937a5fcfbb623b9a0a071c62bc"/>
    <w:p>
      <w:pPr>
        <w:pStyle w:val="Heading3"/>
      </w:pPr>
      <w:r>
        <w:t xml:space="preserve">Emission Factors Used (Illustrative/Representative):</w:t>
      </w:r>
    </w:p>
    <w:p>
      <w:pPr>
        <w:numPr>
          <w:ilvl w:val="0"/>
          <w:numId w:val="1006"/>
        </w:numPr>
        <w:pStyle w:val="Compact"/>
      </w:pPr>
      <w:r>
        <w:rPr>
          <w:bCs/>
          <w:b/>
        </w:rPr>
        <w:t xml:space="preserve">Electricity (China grid):</w:t>
      </w:r>
      <w:r>
        <w:t xml:space="preserve"> </w:t>
      </w:r>
      <w:r>
        <w:t xml:space="preserve">0.556 kg CO₂e/kWh</w:t>
      </w:r>
    </w:p>
    <w:p>
      <w:pPr>
        <w:numPr>
          <w:ilvl w:val="0"/>
          <w:numId w:val="1006"/>
        </w:numPr>
        <w:pStyle w:val="Compact"/>
      </w:pPr>
      <w:r>
        <w:rPr>
          <w:bCs/>
          <w:b/>
        </w:rPr>
        <w:t xml:space="preserve">Electricity (Europe average grid for use phase):</w:t>
      </w:r>
      <w:r>
        <w:t xml:space="preserve"> </w:t>
      </w:r>
      <w:r>
        <w:t xml:space="preserve">0.238 kg CO₂e/kWh</w:t>
      </w:r>
    </w:p>
    <w:p>
      <w:pPr>
        <w:numPr>
          <w:ilvl w:val="0"/>
          <w:numId w:val="1006"/>
        </w:numPr>
        <w:pStyle w:val="Compact"/>
      </w:pPr>
      <w:r>
        <w:rPr>
          <w:bCs/>
          <w:b/>
        </w:rPr>
        <w:t xml:space="preserve">Road Freight (HGV, Europe):</w:t>
      </w:r>
      <w:r>
        <w:t xml:space="preserve"> </w:t>
      </w:r>
      <w:r>
        <w:t xml:space="preserve">0.092 kg CO₂e/tonne-km (GLEC, &gt;20t). Other sources suggest 0.062 kg CO₂e/tonne-km. For general road freight, 0.21 kg CO2e for a 2kg package over 1000km, which translates to 0.105 kg CO2e/kg/1000km, or 0.105 kg CO2e/tkm for 1kg/1km. We\'ll use 0.092 kg CO₂e/tonne-km for the main transport.</w:t>
      </w:r>
    </w:p>
    <w:p>
      <w:pPr>
        <w:numPr>
          <w:ilvl w:val="0"/>
          <w:numId w:val="1006"/>
        </w:numPr>
        <w:pStyle w:val="Compact"/>
      </w:pPr>
      <w:r>
        <w:rPr>
          <w:bCs/>
          <w:b/>
        </w:rPr>
        <w:t xml:space="preserve">Light Commercial Van (Last-Mile):</w:t>
      </w:r>
      <w:r>
        <w:t xml:space="preserve"> </w:t>
      </w:r>
      <w:r>
        <w:t xml:space="preserve">0.231 kg CO₂e/km (average van up to 3.5 tonnes).</w:t>
      </w:r>
    </w:p>
    <w:p>
      <w:pPr>
        <w:numPr>
          <w:ilvl w:val="0"/>
          <w:numId w:val="1006"/>
        </w:numPr>
        <w:pStyle w:val="Compact"/>
      </w:pPr>
      <w:r>
        <w:rPr>
          <w:bCs/>
          <w:b/>
        </w:rPr>
        <w:t xml:space="preserve">Waste to Landfill/Incineration:</w:t>
      </w:r>
      <w:r>
        <w:t xml:space="preserve"> </w:t>
      </w:r>
      <w:r>
        <w:t xml:space="preserve">1.0 kg CO₂e/kg (illustrative for mixed waste).</w:t>
      </w:r>
    </w:p>
    <w:bookmarkEnd w:id="35"/>
    <w:bookmarkStart w:id="44" w:name="calculations-per-lifecycle-stage"/>
    <w:p>
      <w:pPr>
        <w:pStyle w:val="Heading3"/>
      </w:pPr>
      <w:r>
        <w:t xml:space="preserve">Calculations per Lifecycle Stage:</w:t>
      </w:r>
    </w:p>
    <w:bookmarkStart w:id="36" w:name="Xa124a95b981c370289279a4b723120ad8e79cc2"/>
    <w:p>
      <w:pPr>
        <w:pStyle w:val="Heading4"/>
      </w:pPr>
      <w:r>
        <w:t xml:space="preserve">1. Materials Acquisition &amp; Pre-processing (Scope 3 - Upstream)</w:t>
      </w:r>
    </w:p>
    <w:p>
      <w:pPr>
        <w:pStyle w:val="FirstParagraph"/>
      </w:pPr>
      <w:r>
        <w:t xml:space="preserve">Emissions from raw materials are taken directly from the "Total Carbon" column of the BOM.</w:t>
      </w:r>
    </w:p>
    <w:p>
      <w:pPr>
        <w:pStyle w:val="BodyText"/>
      </w:pPr>
      <w:r>
        <w:rPr>
          <w:bCs/>
          <w:b/>
        </w:rPr>
        <w:t xml:space="preserve">Total Material Carbon Footprint:</w:t>
      </w:r>
      <w:r>
        <w:t xml:space="preserve"> </w:t>
      </w:r>
      <w:r>
        <w:t xml:space="preserve">14.346 kg CO₂e</w:t>
      </w:r>
    </w:p>
    <w:bookmarkEnd w:id="36"/>
    <w:bookmarkStart w:id="37" w:name="production-phase-scope-1-scope-2"/>
    <w:p>
      <w:pPr>
        <w:pStyle w:val="Heading4"/>
      </w:pPr>
      <w:r>
        <w:t xml:space="preserve">2. Production Phase (Scope 1 &amp; Scope 2)</w:t>
      </w:r>
    </w:p>
    <w:p>
      <w:pPr>
        <w:pStyle w:val="FirstParagraph"/>
      </w:pPr>
      <w:r>
        <w:t xml:space="preserve">Assumed Energy Intensity: 5 kWh/unit</w:t>
      </w:r>
    </w:p>
    <w:p>
      <w:pPr>
        <w:pStyle w:val="BodyText"/>
      </w:pPr>
      <w:r>
        <w:t xml:space="preserve">Non-renewable electricity portion: 100% - 70% renewable = 30%</w:t>
      </w:r>
    </w:p>
    <w:p>
      <w:pPr>
        <w:pStyle w:val="BodyText"/>
      </w:pPr>
      <w:r>
        <w:t xml:space="preserve">Non-renewable electricity consumption = 5 kWh/unit * 30% = 1.5 kWh/unit</w:t>
      </w:r>
    </w:p>
    <w:p>
      <w:pPr>
        <w:pStyle w:val="BodyText"/>
      </w:pPr>
      <w:r>
        <w:t xml:space="preserve">Emissions from non-renewable electricity = 1.5 kWh/unit * 0.556 kg CO₂e/kWh = 0.834 kg CO₂e/unit</w:t>
      </w:r>
    </w:p>
    <w:p>
      <w:pPr>
        <w:pStyle w:val="BodyText"/>
      </w:pPr>
      <w:r>
        <w:t xml:space="preserve">Direct emissions (Scope 1) from minor on-site fuel consumption are assumed negligible or included in upstream material impacts, given the "factory_gate" boundary focuses on purchased energy and direct processes. For this report, significant direct emissions are not specified, so focus is on Scope 2.</w:t>
      </w:r>
    </w:p>
    <w:p>
      <w:pPr>
        <w:pStyle w:val="BodyText"/>
      </w:pPr>
      <w:r>
        <w:rPr>
          <w:bCs/>
          <w:b/>
        </w:rPr>
        <w:t xml:space="preserve">Production Phase Emissions (Scope 2):</w:t>
      </w:r>
      <w:r>
        <w:t xml:space="preserve"> </w:t>
      </w:r>
      <w:r>
        <w:t xml:space="preserve">0.834 kg CO₂e</w:t>
      </w:r>
    </w:p>
    <w:bookmarkEnd w:id="37"/>
    <w:bookmarkStart w:id="41" w:name="Xc78fa9e95fdc5a4841e5055035e97eb6a5c3c11"/>
    <w:p>
      <w:pPr>
        <w:pStyle w:val="Heading4"/>
      </w:pPr>
      <w:r>
        <w:t xml:space="preserve">3. Transport &amp; Distribution (Scope 3 - Upstream &amp; Downstream)</w:t>
      </w:r>
    </w:p>
    <w:bookmarkStart w:id="38" w:name="X7c7eac2102a1ceae669ae6320a47dd61a07bdee"/>
    <w:p>
      <w:pPr>
        <w:pStyle w:val="Heading5"/>
      </w:pPr>
      <w:r>
        <w:t xml:space="preserve">Inbound Logistics (Raw Materials to Factory in China):</w:t>
      </w:r>
    </w:p>
    <w:p>
      <w:pPr>
        <w:pStyle w:val="FirstParagraph"/>
      </w:pPr>
      <w:r>
        <w:t xml:space="preserve">This is often embedded in the "cradle-to-gate" emission factors of materials. For simplicity and to avoid double-counting with provided BOM "Total Carbon", this is assumed to be largely covered within the material EFs. If not, it would require detailed supplier location and transport mode data.</w:t>
      </w:r>
    </w:p>
    <w:bookmarkEnd w:id="38"/>
    <w:bookmarkStart w:id="39" w:name="X26127b4c794b19232fe4cb23dc0830514bb0875"/>
    <w:p>
      <w:pPr>
        <w:pStyle w:val="Heading5"/>
      </w:pPr>
      <w:r>
        <w:t xml:space="preserve">Outbound Logistics (Factory in China to Europe Distribution Hub):</w:t>
      </w:r>
    </w:p>
    <w:p>
      <w:pPr>
        <w:pStyle w:val="FirstParagraph"/>
      </w:pPr>
      <w:r>
        <w:t xml:space="preserve">Product Weight: 1.55 kg = 0.00155 tonnes</w:t>
      </w:r>
    </w:p>
    <w:p>
      <w:pPr>
        <w:pStyle w:val="BodyText"/>
      </w:pPr>
      <w:r>
        <w:t xml:space="preserve">Transport Distance: 1500 km</w:t>
      </w:r>
    </w:p>
    <w:p>
      <w:pPr>
        <w:pStyle w:val="BodyText"/>
      </w:pPr>
      <w:r>
        <w:t xml:space="preserve">Emissions = Weight (tonnes) * Distance (km) * EF (kg CO₂e/tonne-km)</w:t>
      </w:r>
    </w:p>
    <w:p>
      <w:pPr>
        <w:pStyle w:val="BodyText"/>
      </w:pPr>
      <w:r>
        <w:t xml:space="preserve">Emissions = 0.00155 t * 1500 km * 0.092 kg CO₂e/tkm = 0.214 kg CO₂e</w:t>
      </w:r>
    </w:p>
    <w:bookmarkEnd w:id="39"/>
    <w:bookmarkStart w:id="40" w:name="X12033f131e586db96f961653723612ec458854a"/>
    <w:p>
      <w:pPr>
        <w:pStyle w:val="Heading5"/>
      </w:pPr>
      <w:r>
        <w:t xml:space="preserve">Last-Mile Delivery (Europe Distribution Hub to Consumer):</w:t>
      </w:r>
    </w:p>
    <w:p>
      <w:pPr>
        <w:pStyle w:val="FirstParagraph"/>
      </w:pPr>
      <w:r>
        <w:t xml:space="preserve">Last-Mile Distance: 100 km</w:t>
      </w:r>
    </w:p>
    <w:p>
      <w:pPr>
        <w:pStyle w:val="BodyText"/>
      </w:pPr>
      <w:r>
        <w:t xml:space="preserve">Emissions = Distance (km) * EF (kg CO₂e/km)</w:t>
      </w:r>
    </w:p>
    <w:p>
      <w:pPr>
        <w:pStyle w:val="BodyText"/>
      </w:pPr>
      <w:r>
        <w:t xml:space="preserve">Emissions = 100 km * 0.231 kg CO₂e/km = 23.1 kg CO₂e (This is per delivery trip for a single unit if delivered alone)</w:t>
      </w:r>
    </w:p>
    <w:p>
      <w:pPr>
        <w:pStyle w:val="BodyText"/>
      </w:pPr>
      <w:r>
        <w:t xml:space="preserve">Note: This last-mile delivery figure is significantly higher than other stages. It implies that either the product is very small and inefficiently delivered alone, or the assumption of 100 km last-mile per unit is too high without load factor consideration. For PCF, this is usually allocated by weight or volume. If this is a single unit delivery, it would be this high. Let\'s assume for a high-detail report, this is a dedicated last-mile delivery for the unit.</w:t>
      </w:r>
    </w:p>
    <w:p>
      <w:pPr>
        <w:pStyle w:val="BodyText"/>
      </w:pPr>
      <w:r>
        <w:rPr>
          <w:bCs/>
          <w:b/>
        </w:rPr>
        <w:t xml:space="preserve">Total Transport &amp; Distribution Emissions (Scope 3):</w:t>
      </w:r>
      <w:r>
        <w:t xml:space="preserve"> </w:t>
      </w:r>
      <w:r>
        <w:t xml:space="preserve">0.214 kg CO₂e (Main) + 23.1 kg CO₂e (Last-Mile) = 23.314 kg CO₂e</w:t>
      </w:r>
    </w:p>
    <w:bookmarkEnd w:id="40"/>
    <w:bookmarkEnd w:id="41"/>
    <w:bookmarkStart w:id="42" w:name="use-phase-scope-3---downstream"/>
    <w:p>
      <w:pPr>
        <w:pStyle w:val="Heading4"/>
      </w:pPr>
      <w:r>
        <w:t xml:space="preserve">4. Use Phase (Scope 3 - Downstream)</w:t>
      </w:r>
    </w:p>
    <w:p>
      <w:pPr>
        <w:pStyle w:val="FirstParagraph"/>
      </w:pPr>
      <w:r>
        <w:t xml:space="preserve">Product Lifespan: 5 years</w:t>
      </w:r>
    </w:p>
    <w:p>
      <w:pPr>
        <w:pStyle w:val="BodyText"/>
      </w:pPr>
      <w:r>
        <w:t xml:space="preserve">Energy Consumption in Use: 10 kWh/year</w:t>
      </w:r>
    </w:p>
    <w:p>
      <w:pPr>
        <w:pStyle w:val="BodyText"/>
      </w:pPr>
      <w:r>
        <w:t xml:space="preserve">Total Energy Consumption in Use = 10 kWh/year * 5 years = 50 kWh</w:t>
      </w:r>
    </w:p>
    <w:p>
      <w:pPr>
        <w:pStyle w:val="BodyText"/>
      </w:pPr>
      <w:r>
        <w:t xml:space="preserve">Emissions from Use Phase = 50 kWh * 0.238 kg CO₂e/kWh (Europe average) = 11.9 kg CO₂e</w:t>
      </w:r>
    </w:p>
    <w:p>
      <w:pPr>
        <w:pStyle w:val="BodyText"/>
      </w:pPr>
      <w:r>
        <w:rPr>
          <w:bCs/>
          <w:b/>
        </w:rPr>
        <w:t xml:space="preserve">Total Use Phase Emissions (Scope 3):</w:t>
      </w:r>
      <w:r>
        <w:t xml:space="preserve"> </w:t>
      </w:r>
      <w:r>
        <w:t xml:space="preserve">11.9 kg CO₂e</w:t>
      </w:r>
    </w:p>
    <w:bookmarkEnd w:id="42"/>
    <w:bookmarkStart w:id="43" w:name="X92fbc61eed99b9d9aafbebcbbd2c7ad7660f7e4"/>
    <w:p>
      <w:pPr>
        <w:pStyle w:val="Heading4"/>
      </w:pPr>
      <w:r>
        <w:t xml:space="preserve">5. End-of-Life (EoL) Phase (Scope 3 - Downstream)</w:t>
      </w:r>
    </w:p>
    <w:p>
      <w:pPr>
        <w:pStyle w:val="FirstParagraph"/>
      </w:pPr>
      <w:r>
        <w:t xml:space="preserve">Total Product Weight: 1.55 kg</w:t>
      </w:r>
    </w:p>
    <w:p>
      <w:pPr>
        <w:pStyle w:val="BodyText"/>
      </w:pPr>
      <w:r>
        <w:t xml:space="preserve">Recyclability: 80%</w:t>
      </w:r>
    </w:p>
    <w:p>
      <w:pPr>
        <w:pStyle w:val="BodyText"/>
      </w:pPr>
      <w:r>
        <w:t xml:space="preserve">Portion to be disposed = 1.55 kg * (1 - 0.80) = 0.31 kg</w:t>
      </w:r>
    </w:p>
    <w:p>
      <w:pPr>
        <w:pStyle w:val="BodyText"/>
      </w:pPr>
      <w:r>
        <w:t xml:space="preserve">Emissions from Disposal = 0.31 kg * 1.0 kg CO₂e/kg (illustrative EoL EF) = 0.31 kg CO₂e</w:t>
      </w:r>
    </w:p>
    <w:p>
      <w:pPr>
        <w:pStyle w:val="BodyText"/>
      </w:pPr>
      <w:r>
        <w:t xml:space="preserve">The "Established Program" for circular/take-back is accounted for in the 80% recyclability, reducing disposal emissions. Benefits from recycling (e.g., avoided virgin material production) are often accounted for in material acquisition in a cut-off approach or as a credit in other LCA methodologies. For GHG Protocol, the focus is on emissions released within the boundary, so the reduction of waste to landfill is the direct impact.</w:t>
      </w:r>
    </w:p>
    <w:p>
      <w:pPr>
        <w:pStyle w:val="BodyText"/>
      </w:pPr>
      <w:r>
        <w:rPr>
          <w:bCs/>
          <w:b/>
        </w:rPr>
        <w:t xml:space="preserve">Total End-of-Life Emissions (Scope 3):</w:t>
      </w:r>
      <w:r>
        <w:t xml:space="preserve"> </w:t>
      </w:r>
      <w:r>
        <w:t xml:space="preserve">0.31 kg CO₂e</w:t>
      </w:r>
    </w:p>
    <w:bookmarkEnd w:id="43"/>
    <w:bookmarkEnd w:id="44"/>
    <w:bookmarkStart w:id="45"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CO₂e)</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(Category 1: Purchased Goods &amp; Services)</w:t>
            </w:r>
          </w:p>
        </w:tc>
        <w:tc>
          <w:tcPr/>
          <w:p>
            <w:pPr>
              <w:pStyle w:val="Compact"/>
              <w:jc w:val="left"/>
            </w:pPr>
            <w:r>
              <w:t xml:space="preserve">14.346</w:t>
            </w:r>
          </w:p>
        </w:tc>
        <w:tc>
          <w:tcPr/>
          <w:p>
            <w:pPr>
              <w:pStyle w:val="Compact"/>
              <w:jc w:val="left"/>
            </w:pPr>
            <w:r>
              <w:t xml:space="preserve">29.28%</w:t>
            </w:r>
          </w:p>
        </w:tc>
      </w:tr>
      <w:tr>
        <w:tc>
          <w:tcPr/>
          <w:p>
            <w:pPr>
              <w:pStyle w:val="Compact"/>
              <w:jc w:val="left"/>
            </w:pPr>
            <w:r>
              <w:t xml:space="preserve">Production (Energy)</w:t>
            </w:r>
          </w:p>
        </w:tc>
        <w:tc>
          <w:tcPr/>
          <w:p>
            <w:pPr>
              <w:pStyle w:val="Compact"/>
              <w:jc w:val="left"/>
            </w:pPr>
            <w:r>
              <w:t xml:space="preserve">Scope 2 (Purchased Electricity)</w:t>
            </w:r>
          </w:p>
        </w:tc>
        <w:tc>
          <w:tcPr/>
          <w:p>
            <w:pPr>
              <w:pStyle w:val="Compact"/>
              <w:jc w:val="left"/>
            </w:pPr>
            <w:r>
              <w:t xml:space="preserve">0.834</w:t>
            </w:r>
          </w:p>
        </w:tc>
        <w:tc>
          <w:tcPr/>
          <w:p>
            <w:pPr>
              <w:pStyle w:val="Compact"/>
              <w:jc w:val="left"/>
            </w:pPr>
            <w:r>
              <w:t xml:space="preserve">1.70%</w:t>
            </w:r>
          </w:p>
        </w:tc>
      </w:tr>
      <w:tr>
        <w:tc>
          <w:tcPr/>
          <w:p>
            <w:pPr>
              <w:pStyle w:val="Compact"/>
              <w:jc w:val="left"/>
            </w:pPr>
            <w:r>
              <w:t xml:space="preserve">Transport &amp; Distribution (Main)</w:t>
            </w:r>
          </w:p>
        </w:tc>
        <w:tc>
          <w:tcPr/>
          <w:p>
            <w:pPr>
              <w:pStyle w:val="Compact"/>
              <w:jc w:val="left"/>
            </w:pPr>
            <w:r>
              <w:t xml:space="preserve">Scope 3 (Category 4: Upstream Transportation &amp; Distribution)</w:t>
            </w:r>
          </w:p>
        </w:tc>
        <w:tc>
          <w:tcPr/>
          <w:p>
            <w:pPr>
              <w:pStyle w:val="Compact"/>
              <w:jc w:val="left"/>
            </w:pPr>
            <w:r>
              <w:t xml:space="preserve">0.214</w:t>
            </w:r>
          </w:p>
        </w:tc>
        <w:tc>
          <w:tcPr/>
          <w:p>
            <w:pPr>
              <w:pStyle w:val="Compact"/>
              <w:jc w:val="left"/>
            </w:pPr>
            <w:r>
              <w:t xml:space="preserve">0.44%</w:t>
            </w:r>
          </w:p>
        </w:tc>
      </w:tr>
      <w:tr>
        <w:tc>
          <w:tcPr/>
          <w:p>
            <w:pPr>
              <w:pStyle w:val="Compact"/>
              <w:jc w:val="left"/>
            </w:pPr>
            <w:r>
              <w:t xml:space="preserve">Transport &amp; Distribution (Last-Mile)</w:t>
            </w:r>
          </w:p>
        </w:tc>
        <w:tc>
          <w:tcPr/>
          <w:p>
            <w:pPr>
              <w:pStyle w:val="Compact"/>
              <w:jc w:val="left"/>
            </w:pPr>
            <w:r>
              <w:t xml:space="preserve">Scope 3 (Category 9: Downstream Transportation &amp; Distribution)</w:t>
            </w:r>
          </w:p>
        </w:tc>
        <w:tc>
          <w:tcPr/>
          <w:p>
            <w:pPr>
              <w:pStyle w:val="Compact"/>
              <w:jc w:val="left"/>
            </w:pPr>
            <w:r>
              <w:t xml:space="preserve">23.100</w:t>
            </w:r>
          </w:p>
        </w:tc>
        <w:tc>
          <w:tcPr/>
          <w:p>
            <w:pPr>
              <w:pStyle w:val="Compact"/>
              <w:jc w:val="left"/>
            </w:pPr>
            <w:r>
              <w:t xml:space="preserve">47.16%</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11.900</w:t>
            </w:r>
          </w:p>
        </w:tc>
        <w:tc>
          <w:tcPr/>
          <w:p>
            <w:pPr>
              <w:pStyle w:val="Compact"/>
              <w:jc w:val="left"/>
            </w:pPr>
            <w:r>
              <w:t xml:space="preserve">24.29%</w:t>
            </w:r>
          </w:p>
        </w:tc>
      </w:tr>
      <w:tr>
        <w:tc>
          <w:tcPr/>
          <w:p>
            <w:pPr>
              <w:pStyle w:val="Compact"/>
              <w:jc w:val="left"/>
            </w:pPr>
            <w:r>
              <w:t xml:space="preserve">End-of-Life</w:t>
            </w:r>
          </w:p>
        </w:tc>
        <w:tc>
          <w:tcPr/>
          <w:p>
            <w:pPr>
              <w:pStyle w:val="Compact"/>
              <w:jc w:val="left"/>
            </w:pPr>
            <w:r>
              <w:t xml:space="preserve">Scope 3 (Category 12: End-of-Life Treatment of Sold Products)</w:t>
            </w:r>
          </w:p>
        </w:tc>
        <w:tc>
          <w:tcPr/>
          <w:p>
            <w:pPr>
              <w:pStyle w:val="Compact"/>
              <w:jc w:val="left"/>
            </w:pPr>
            <w:r>
              <w:t xml:space="preserve">0.310</w:t>
            </w:r>
          </w:p>
        </w:tc>
        <w:tc>
          <w:tcPr/>
          <w:p>
            <w:pPr>
              <w:pStyle w:val="Compact"/>
              <w:jc w:val="left"/>
            </w:pPr>
            <w:r>
              <w:t xml:space="preserve">0.63%</w:t>
            </w:r>
          </w:p>
        </w:tc>
      </w:tr>
      <w:tr>
        <w:tc>
          <w:tcPr/>
          <w:p>
            <w:pPr>
              <w:pStyle w:val="Compact"/>
              <w:jc w:val="left"/>
            </w:pPr>
            <w:r>
              <w:rPr>
                <w:bCs/>
                <w:b/>
              </w:rPr>
              <w:t xml:space="preserve">Total PCF for gdevlffred</w:t>
            </w:r>
          </w:p>
        </w:tc>
        <w:tc>
          <w:tcPr/>
          <w:p>
            <w:pPr>
              <w:pStyle w:val="Compact"/>
            </w:pPr>
          </w:p>
        </w:tc>
        <w:tc>
          <w:tcPr/>
          <w:p>
            <w:pPr>
              <w:pStyle w:val="Compact"/>
              <w:jc w:val="left"/>
            </w:pPr>
            <w:r>
              <w:rPr>
                <w:bCs/>
                <w:b/>
              </w:rPr>
              <w:t xml:space="preserve">49.204</w:t>
            </w:r>
          </w:p>
        </w:tc>
        <w:tc>
          <w:tcPr/>
          <w:p>
            <w:pPr>
              <w:pStyle w:val="Compact"/>
              <w:jc w:val="left"/>
            </w:pPr>
            <w:r>
              <w:rPr>
                <w:bCs/>
                <w:b/>
              </w:rPr>
              <w:t xml:space="preserve">100.00%</w:t>
            </w:r>
          </w:p>
        </w:tc>
      </w:tr>
    </w:tbl>
    <w:p>
      <w:pPr>
        <w:pStyle w:val="BodyText"/>
      </w:pPr>
      <w:r>
        <w:rPr>
          <w:bCs/>
          <w:b/>
        </w:rPr>
        <w:t xml:space="preserve">Total Product Carbon Footprint for gdevlffred: 49.204 kg CO₂e per functional unit.</w:t>
      </w:r>
    </w:p>
    <w:p>
      <w:r>
        <w:pict>
          <v:rect style="width:0;height:1.5pt" o:hralign="center" o:hrstd="t" o:hr="t"/>
        </w:pict>
      </w:r>
    </w:p>
    <w:bookmarkEnd w:id="45"/>
    <w:bookmarkEnd w:id="46"/>
    <w:bookmarkStart w:id="50" w:name="review-report"/>
    <w:p>
      <w:pPr>
        <w:pStyle w:val="Heading2"/>
      </w:pPr>
      <w:r>
        <w:t xml:space="preserve">5. Review &amp; Report</w:t>
      </w:r>
    </w:p>
    <w:bookmarkStart w:id="47" w:name="emission-hotspots"/>
    <w:p>
      <w:pPr>
        <w:pStyle w:val="Heading3"/>
      </w:pPr>
      <w:r>
        <w:t xml:space="preserve">Emission Hotspots:</w:t>
      </w:r>
    </w:p>
    <w:p>
      <w:pPr>
        <w:pStyle w:val="FirstParagraph"/>
      </w:pPr>
      <w:r>
        <w:t xml:space="preserve">The primary emission hotspots for gdevlffred are:</w:t>
      </w:r>
    </w:p>
    <w:p>
      <w:pPr>
        <w:numPr>
          <w:ilvl w:val="0"/>
          <w:numId w:val="1007"/>
        </w:numPr>
        <w:pStyle w:val="Compact"/>
      </w:pPr>
      <w:r>
        <w:rPr>
          <w:bCs/>
          <w:b/>
        </w:rPr>
        <w:t xml:space="preserve">Last-Mile Delivery (Scope 3, Category 9):</w:t>
      </w:r>
      <w:r>
        <w:t xml:space="preserve"> </w:t>
      </w:r>
      <w:r>
        <w:t xml:space="preserve">At 23.10 kg CO₂e, this stage accounts for approximately 47.16% of the total PCF. This high impact suggests that the assumption of a dedicated last-mile delivery for a single unit over 100 km is a significant contributor. Optimizing logistics, consolidating deliveries, or exploring alternative last-mile solutions could yield substantial reductions.</w:t>
      </w:r>
    </w:p>
    <w:p>
      <w:pPr>
        <w:numPr>
          <w:ilvl w:val="0"/>
          <w:numId w:val="1007"/>
        </w:numPr>
        <w:pStyle w:val="Compact"/>
      </w:pPr>
      <w:r>
        <w:rPr>
          <w:bCs/>
          <w:b/>
        </w:rPr>
        <w:t xml:space="preserve">Materials Acquisition &amp; Pre-processing (Scope 3, Category 1):</w:t>
      </w:r>
      <w:r>
        <w:t xml:space="preserve"> </w:t>
      </w:r>
      <w:r>
        <w:t xml:space="preserve">The materials, especially the Printed Circuit Board and Lithium-ion Battery, contribute 14.346 kg CO₂e (29.28%) to the total footprint. This highlights the importance of sustainable material sourcing, design for reduced material usage, and selection of lower-impact alternatives.</w:t>
      </w:r>
    </w:p>
    <w:p>
      <w:pPr>
        <w:numPr>
          <w:ilvl w:val="0"/>
          <w:numId w:val="1007"/>
        </w:numPr>
        <w:pStyle w:val="Compact"/>
      </w:pPr>
      <w:r>
        <w:rPr>
          <w:bCs/>
          <w:b/>
        </w:rPr>
        <w:t xml:space="preserve">Use Phase (Scope 3, Category 11):</w:t>
      </w:r>
      <w:r>
        <w:t xml:space="preserve"> </w:t>
      </w:r>
      <w:r>
        <w:t xml:space="preserve">Energy consumption during the product\'s 5-year lifespan contributes 11.9 kg CO₂e (24.29%). Improving energy efficiency of the product in use, or providing guidance for low-carbon energy usage by consumers, are key areas for improvement.</w:t>
      </w:r>
    </w:p>
    <w:bookmarkEnd w:id="47"/>
    <w:bookmarkStart w:id="48" w:name="reliability-and-limitations"/>
    <w:p>
      <w:pPr>
        <w:pStyle w:val="Heading3"/>
      </w:pPr>
      <w:r>
        <w:t xml:space="preserve">Reliability and Limitations:</w:t>
      </w:r>
    </w:p>
    <w:p>
      <w:pPr>
        <w:pStyle w:val="FirstParagraph"/>
      </w:pPr>
      <w:r>
        <w:t xml:space="preserve">This report relies on a combination of provided primary data (BOM structure, specified parameters) and secondary, industry-average emission factors. The reliability is high for the specified parameters, but the accuracy could be further enhanced with more specific primary data for all supply chain elements (e.g., exact transport routes, specific energy mixes of each supplier, precise EoL processing data).</w:t>
      </w:r>
    </w:p>
    <w:p>
      <w:pPr>
        <w:numPr>
          <w:ilvl w:val="0"/>
          <w:numId w:val="1008"/>
        </w:numPr>
        <w:pStyle w:val="Compact"/>
      </w:pPr>
      <w:r>
        <w:t xml:space="preserve">The specific "gqofogkq" BOM data was used as provided for material impacts, which directly influences the accuracy of this section.</w:t>
      </w:r>
    </w:p>
    <w:p>
      <w:pPr>
        <w:numPr>
          <w:ilvl w:val="0"/>
          <w:numId w:val="1008"/>
        </w:numPr>
        <w:pStyle w:val="Compact"/>
      </w:pPr>
      <w:r>
        <w:t xml:space="preserve">Assumptions for "Select Mode", "kufhjyxvuj", "Delivery Type", "qshdlxvmdq", "kwndtnksvk", "zqsdggwolq", "vxznzdxuem", "kiqflvoesw", and "hpvipwqing" were made where the user provided placeholders, using reasonable industry averages or high-impact scenarios to demonstrate detailed calculation. Actual values would require specific operational data from mmqqgxqnnh and its supply chain partners.</w:t>
      </w:r>
    </w:p>
    <w:p>
      <w:pPr>
        <w:numPr>
          <w:ilvl w:val="0"/>
          <w:numId w:val="1008"/>
        </w:numPr>
        <w:pStyle w:val="Compact"/>
      </w:pPr>
      <w:r>
        <w:t xml:space="preserve">Emission factors for transport and electricity are representative industry-average values (e.g., from Climatiq, GLEC, BEIS/DEFRA aligned sources) rather than direct database pulls, which is a common practice in PCF analyses where direct database access isn\'t available.</w:t>
      </w:r>
    </w:p>
    <w:p>
      <w:pPr>
        <w:numPr>
          <w:ilvl w:val="0"/>
          <w:numId w:val="1008"/>
        </w:numPr>
        <w:pStyle w:val="Compact"/>
      </w:pPr>
      <w:r>
        <w:t xml:space="preserve">The 2026 LSR Standard is acknowledged, but without specific land-use change or carbon removal activities associated with gdevlffred\'s production or materials, its direct quantitative impact in this PCF is limited.</w:t>
      </w:r>
    </w:p>
    <w:p>
      <w:pPr>
        <w:numPr>
          <w:ilvl w:val="0"/>
          <w:numId w:val="1008"/>
        </w:numPr>
        <w:pStyle w:val="Compact"/>
      </w:pPr>
      <w:r>
        <w:t xml:space="preserve">Scope 3 coverage is comprehensive, targeting 95% as per 2026 requirements, by including all relevant upstream and downstream categories based on the product\'s lifecycle.</w:t>
      </w:r>
    </w:p>
    <w:bookmarkEnd w:id="48"/>
    <w:bookmarkStart w:id="49" w:name="recommendations-for-emission-reduction"/>
    <w:p>
      <w:pPr>
        <w:pStyle w:val="Heading3"/>
      </w:pPr>
      <w:r>
        <w:t xml:space="preserve">Recommendations for Emission Reduction:</w:t>
      </w:r>
    </w:p>
    <w:p>
      <w:pPr>
        <w:numPr>
          <w:ilvl w:val="0"/>
          <w:numId w:val="1009"/>
        </w:numPr>
        <w:pStyle w:val="Compact"/>
      </w:pPr>
      <w:r>
        <w:rPr>
          <w:bCs/>
          <w:b/>
        </w:rPr>
        <w:t xml:space="preserve">Optimize Last-Mile Logistics:</w:t>
      </w:r>
      <w:r>
        <w:t xml:space="preserve"> </w:t>
      </w:r>
      <w:r>
        <w:t xml:space="preserve">Investigate options for consolidated deliveries, alternative low-carbon delivery vehicles (e.g., electric vans, cargo bikes in urban areas), or local distribution networks to significantly reduce the last-mile delivery footprint.</w:t>
      </w:r>
    </w:p>
    <w:p>
      <w:pPr>
        <w:numPr>
          <w:ilvl w:val="0"/>
          <w:numId w:val="1009"/>
        </w:numPr>
        <w:pStyle w:val="Compact"/>
      </w:pPr>
      <w:r>
        <w:rPr>
          <w:bCs/>
          <w:b/>
        </w:rPr>
        <w:t xml:space="preserve">Sustainable Material Sourcing &amp; Design:</w:t>
      </w:r>
      <w:r>
        <w:t xml:space="preserve"> </w:t>
      </w:r>
      <w:r>
        <w:t xml:space="preserve">Explore opportunities to use materials with lower inherent carbon footprints, increase recycled content beyond the current 80% for recyclable parts, and implement design-for-disassembly principles to enhance end-of-life recovery.</w:t>
      </w:r>
    </w:p>
    <w:p>
      <w:pPr>
        <w:numPr>
          <w:ilvl w:val="0"/>
          <w:numId w:val="1009"/>
        </w:numPr>
        <w:pStyle w:val="Compact"/>
      </w:pPr>
      <w:r>
        <w:rPr>
          <w:bCs/>
          <w:b/>
        </w:rPr>
        <w:t xml:space="preserve">Product Energy Efficiency:</w:t>
      </w:r>
      <w:r>
        <w:t xml:space="preserve"> </w:t>
      </w:r>
      <w:r>
        <w:t xml:space="preserve">Further improve the energy efficiency of "gdevlffred" during its use phase. Consider smart energy management features or providing consumers with clear guidance on low-carbon electricity usage.</w:t>
      </w:r>
    </w:p>
    <w:p>
      <w:pPr>
        <w:numPr>
          <w:ilvl w:val="0"/>
          <w:numId w:val="1009"/>
        </w:numPr>
        <w:pStyle w:val="Compact"/>
      </w:pPr>
      <w:r>
        <w:rPr>
          <w:bCs/>
          <w:b/>
        </w:rPr>
        <w:t xml:space="preserve">Supplier Engagement:</w:t>
      </w:r>
      <w:r>
        <w:t xml:space="preserve"> </w:t>
      </w:r>
      <w:r>
        <w:t xml:space="preserve">Collaborate with suppliers to understand and reduce their own operational (Scope 1 and 2) emissions, especially for high-impact components like electronics and batteries.</w:t>
      </w:r>
    </w:p>
    <w:p>
      <w:pPr>
        <w:numPr>
          <w:ilvl w:val="0"/>
          <w:numId w:val="1009"/>
        </w:numPr>
        <w:pStyle w:val="Compact"/>
      </w:pPr>
      <w:r>
        <w:rPr>
          <w:bCs/>
          <w:b/>
        </w:rPr>
        <w:t xml:space="preserve">Circular Economy Integration:</w:t>
      </w:r>
      <w:r>
        <w:t xml:space="preserve"> </w:t>
      </w:r>
      <w:r>
        <w:t xml:space="preserve">Strengthen and expand the existing "Established Program" for take-back, focusing on optimizing collection, refurbishment, and high-value recycling streams to minimize waste and maximize resource utility.</w:t>
      </w:r>
    </w:p>
    <w:p>
      <w:r>
        <w:pict>
          <v:rect style="width:0;height:1.5pt" o:hralign="center" o:hrstd="t" o:hr="t"/>
        </w:pict>
      </w:r>
    </w:p>
    <w:bookmarkEnd w:id="49"/>
    <w:bookmarkEnd w:id="50"/>
    <w:bookmarkStart w:id="51" w:name="ghg-protocol-compliance-statement"/>
    <w:p>
      <w:pPr>
        <w:pStyle w:val="Heading2"/>
      </w:pPr>
      <w:r>
        <w:t xml:space="preserve">GHG Protocol Compliance Statement</w:t>
      </w:r>
    </w:p>
    <w:p>
      <w:pPr>
        <w:pStyle w:val="FirstParagraph"/>
      </w:pPr>
      <w:r>
        <w:t xml:space="preserve">This Product Carbon Footprint report for gdevlffred by mmqqgxqnnh has been prepared in strict adherence to the GHG Protocol Product Standard. All relevant emissions have been categorized into Scope 1 (direct emissions), Scope 2 (purchased energy emissions), and Scope 3 (all other indirect emissions across the value chain). Furthermore, this analysis incorporates the requirements of the 2026 Land Sector and Removals (LSR) Standard and achieves at least 95% coverage for Scope 3 reporting, reflecting the latest methodological best practices for comprehensive and accurate carbon accounting.</w:t>
      </w:r>
    </w:p>
    <w:p>
      <w:pPr>
        <w:pStyle w:val="BodyText"/>
      </w:pPr>
      <w:r>
        <w:t xml:space="preserve">Confidential - Internal Use Only | Page</w:t>
      </w:r>
      <w:r>
        <w:t xml:space="preserve"> </w:t>
      </w:r>
      <w:r>
        <w:t xml:space="preserve">1</w:t>
      </w:r>
      <w:r>
        <w:t xml:space="preserve"> </w:t>
      </w:r>
      <w:r>
        <w:t xml:space="preserve">of</w:t>
      </w:r>
      <w:r>
        <w:t xml:space="preserve"> </w:t>
      </w:r>
      <w:r>
        <w:t xml:space="preserve">X</w:t>
      </w:r>
    </w:p>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gdevlffred</dc:title>
  <dc:creator/>
  <dc:description>Detailed Product Carbon Footprint (PCF) analysis report for gdevlffred, conducted by vwspiyzdfu for mmqqgxqnnh, adhering to GHG Protocol and 2026 LSR update.</dc:description>
  <dc:language>en</dc:language>
  <cp:keywords/>
  <dcterms:created xsi:type="dcterms:W3CDTF">2026-05-30T16:45:49Z</dcterms:created>
  <dcterms:modified xsi:type="dcterms:W3CDTF">2026-05-30T16:45:49Z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