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fzzmmetvno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fzzmmetvno"/>
    <w:p>
      <w:pPr>
        <w:pStyle w:val="Heading2"/>
      </w:pPr>
      <w:r>
        <w:t xml:space="preserve">for fzzmmetvno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dhqnupzpry</w:t>
      </w:r>
    </w:p>
    <w:p>
      <w:pPr>
        <w:pStyle w:val="BodyText"/>
      </w:pPr>
      <w:r>
        <w:rPr>
          <w:bCs/>
          <w:b/>
        </w:rPr>
        <w:t xml:space="preserve">Senior Sustainability Consultant:</w:t>
      </w:r>
      <w:r>
        <w:t xml:space="preserve"> </w:t>
      </w:r>
      <w:r>
        <w:t xml:space="preserve">wxdwyjfkwo</w:t>
      </w:r>
    </w:p>
    <w:p>
      <w:pPr>
        <w:pStyle w:val="BodyText"/>
      </w:pPr>
      <w:r>
        <w:t xml:space="preserve">This report is generated based on available data and industry standards. While every effort has been made to ensure accuracy, the actual environmental impact may vary based on real-world conditions and data precision.</w:t>
      </w:r>
    </w:p>
    <w:bookmarkEnd w:id="20"/>
    <w:bookmarkEnd w:id="21"/>
    <w:bookmarkStart w:id="45" w:name="X6a9e23acf9318d97e906c89357ddac9352fbd83"/>
    <w:p>
      <w:pPr>
        <w:pStyle w:val="Heading1"/>
      </w:pPr>
      <w:r>
        <w:t xml:space="preserve">Product Carbon Footprint Analysis Report for fzzmmetvno</w:t>
      </w:r>
    </w:p>
    <w:p>
      <w:pPr>
        <w:pStyle w:val="FirstParagraph"/>
      </w:pPr>
      <w:r>
        <w:rPr>
          <w:bCs/>
          <w:b/>
        </w:rPr>
        <w:t xml:space="preserve">Generated Date:</w:t>
      </w:r>
      <w:r>
        <w:t xml:space="preserve"> </w:t>
      </w:r>
      <w:r>
        <w:t xml:space="preserve">May 21, 2026</w:t>
      </w:r>
    </w:p>
    <w:p>
      <w:pPr>
        <w:pStyle w:val="BodyText"/>
      </w:pPr>
      <w:r>
        <w:rPr>
          <w:bCs/>
          <w:b/>
        </w:rPr>
        <w:t xml:space="preserve">Prepared by:</w:t>
      </w:r>
      <w:r>
        <w:t xml:space="preserve"> </w:t>
      </w:r>
      <w:r>
        <w:t xml:space="preserve">wxdwyjfkwo, Senior Sustainability Consultant for dhqnupzpry</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fzzmmetvno, manufactured by dhqnupzpry. Conducted by wxdwyjfkwo, Senior Sustainability Consultant, this analysis adheres strictly to the GHG Protocol, including the 2026 Land Sector and Removals (LSR) Standard update and the stringent 95% Scope 3 coverage requirement. The assessment covers the lifecycle from raw material extraction to end-of-life, providing a comprehensive understanding of the product\'s greenhouse gas emissions (GHG) footprint in CO2 equivalent (CO2e).</w:t>
      </w:r>
    </w:p>
    <w:p>
      <w:pPr>
        <w:pStyle w:val="BodyText"/>
      </w:pPr>
      <w:r>
        <w:t xml:space="preserve">The primary goal is to identify emission hotspots across the product\'s lifecycle, categorize them according to Scope 1, 2, and 3 emissions, and offer insights for dhqnupzpry to enhance its sustainability performance and inform strategic decisions.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fzzmmetvno follows a five-step methodology in accordance with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fzzmmetvno.</w:t>
      </w:r>
    </w:p>
    <w:p>
      <w:pPr>
        <w:numPr>
          <w:ilvl w:val="0"/>
          <w:numId w:val="1001"/>
        </w:numPr>
        <w:pStyle w:val="Compact"/>
      </w:pPr>
      <w:r>
        <w:rPr>
          <w:bCs/>
          <w:b/>
        </w:rPr>
        <w:t xml:space="preserve">System Boundary:</w:t>
      </w:r>
      <w:r>
        <w:t xml:space="preserve"> </w:t>
      </w:r>
      <w:r>
        <w:t xml:space="preserve">Factory Gate – This analysis extends from raw material acquisition (cradle) to the point where the product leaves the manufacturing facility (factory gate), and further includes downstream transportation, the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The use phase is assumed to occur primarily within Europe.</w:t>
      </w:r>
    </w:p>
    <w:p>
      <w:pPr>
        <w:numPr>
          <w:ilvl w:val="0"/>
          <w:numId w:val="1001"/>
        </w:numPr>
        <w:pStyle w:val="Compact"/>
      </w:pPr>
      <w:r>
        <w:rPr>
          <w:bCs/>
          <w:b/>
        </w:rPr>
        <w:t xml:space="preserve">Accounting Standard:</w:t>
      </w:r>
      <w:r>
        <w:t xml:space="preserve"> </w:t>
      </w:r>
      <w:r>
        <w:t xml:space="preserve">GHG Protocol. This report strictly adheres to the Greenhouse Gas Protocol Product Standard, ensuring robust and transparent accounting of emissions across the product\'s lifecycle. It also incorporates the upcoming 2026 Land Sector and Removals (LSR) Standard for conceptual consideration of land use and carbon removals, and targets at least 95% coverage for Scope 3 reporting as per 2026 requirements.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lifecycle.</w:t>
      </w:r>
    </w:p>
    <w:p>
      <w:r>
        <w:pict>
          <v:rect style="width:0;height:1.5pt" o:hralign="center" o:hrstd="t" o:hr="t"/>
        </w:pict>
      </w:r>
    </w:p>
    <w:bookmarkEnd w:id="23"/>
    <w:bookmarkEnd w:id="24"/>
    <w:bookmarkStart w:id="25" w:name="lifecycle-mapping-lci-inventory-stages"/>
    <w:p>
      <w:pPr>
        <w:pStyle w:val="Heading2"/>
      </w:pPr>
      <w:r>
        <w:t xml:space="preserve">2. Lifecycle Mapping (LCI Inventory Stages)</w:t>
      </w:r>
    </w:p>
    <w:p>
      <w:pPr>
        <w:pStyle w:val="FirstParagraph"/>
      </w:pPr>
      <w:r>
        <w:t xml:space="preserve">The lifecycle of fzzmmetvno has been mapped into distinct stages to ensure comprehensive data collection and emission calculation:</w:t>
      </w:r>
    </w:p>
    <w:p>
      <w:pPr>
        <w:numPr>
          <w:ilvl w:val="0"/>
          <w:numId w:val="1002"/>
        </w:numPr>
        <w:pStyle w:val="Compact"/>
      </w:pPr>
      <w:r>
        <w:rPr>
          <w:bCs/>
          <w:b/>
        </w:rPr>
        <w:t xml:space="preserve">Raw Material Acquisition &amp; Pre-processing (Upstream - Scope 3):</w:t>
      </w:r>
      <w:r>
        <w:t xml:space="preserve"> </w:t>
      </w:r>
      <w:r>
        <w:t xml:space="preserve">Includes extraction, processing, and initial manufacturing of all components listed in the Bill of Materials (BOM).</w:t>
      </w:r>
    </w:p>
    <w:p>
      <w:pPr>
        <w:numPr>
          <w:ilvl w:val="0"/>
          <w:numId w:val="1002"/>
        </w:numPr>
        <w:pStyle w:val="Compact"/>
      </w:pPr>
      <w:r>
        <w:rPr>
          <w:bCs/>
          <w:b/>
        </w:rPr>
        <w:t xml:space="preserve">Manufacturing / Production (Core - Scope 1 &amp; 2):</w:t>
      </w:r>
      <w:r>
        <w:t xml:space="preserve"> </w:t>
      </w:r>
      <w:r>
        <w:t xml:space="preserve">Covers the energy consumption and direct emissions from the dhqnupzpry factory in China for assembling fzzmmetvno.</w:t>
      </w:r>
    </w:p>
    <w:p>
      <w:pPr>
        <w:numPr>
          <w:ilvl w:val="0"/>
          <w:numId w:val="1002"/>
        </w:numPr>
        <w:pStyle w:val="Compact"/>
      </w:pPr>
      <w:r>
        <w:rPr>
          <w:bCs/>
          <w:b/>
        </w:rPr>
        <w:t xml:space="preserve">Transportation (Upstream &amp; Downstream - Scope 3):</w:t>
      </w:r>
    </w:p>
    <w:p>
      <w:pPr>
        <w:numPr>
          <w:ilvl w:val="1"/>
          <w:numId w:val="1003"/>
        </w:numPr>
        <w:pStyle w:val="Compact"/>
      </w:pPr>
      <w:r>
        <w:rPr>
          <w:bCs/>
          <w:b/>
        </w:rPr>
        <w:t xml:space="preserve">Upstream Logistics:</w:t>
      </w:r>
      <w:r>
        <w:t xml:space="preserve"> </w:t>
      </w:r>
      <w:r>
        <w:t xml:space="preserve">Transport of raw materials and components from Europe-focused suppliers to the factory in China.</w:t>
      </w:r>
    </w:p>
    <w:p>
      <w:pPr>
        <w:numPr>
          <w:ilvl w:val="1"/>
          <w:numId w:val="1003"/>
        </w:numPr>
        <w:pStyle w:val="Compact"/>
      </w:pPr>
      <w:r>
        <w:rPr>
          <w:bCs/>
          <w:b/>
        </w:rPr>
        <w:t xml:space="preserve">Downstream Logistics:</w:t>
      </w:r>
      <w:r>
        <w:t xml:space="preserve"> </w:t>
      </w:r>
      <w:r>
        <w:t xml:space="preserve">Transport of the finished product from the factory in China to the end-user market (Europe), including last-mile delivery.</w:t>
      </w:r>
    </w:p>
    <w:p>
      <w:pPr>
        <w:numPr>
          <w:ilvl w:val="0"/>
          <w:numId w:val="1002"/>
        </w:numPr>
        <w:pStyle w:val="Compact"/>
      </w:pPr>
      <w:r>
        <w:rPr>
          <w:bCs/>
          <w:b/>
        </w:rPr>
        <w:t xml:space="preserve">Use Phase (Downstream - Scope 3):</w:t>
      </w:r>
      <w:r>
        <w:t xml:space="preserve"> </w:t>
      </w:r>
      <w:r>
        <w:t xml:space="preserve">Accounts for energy consumption during the product\'s expected lifespan by the end-user.</w:t>
      </w:r>
    </w:p>
    <w:p>
      <w:pPr>
        <w:numPr>
          <w:ilvl w:val="0"/>
          <w:numId w:val="1002"/>
        </w:numPr>
        <w:pStyle w:val="Compact"/>
      </w:pPr>
      <w:r>
        <w:rPr>
          <w:bCs/>
          <w:b/>
        </w:rPr>
        <w:t xml:space="preserve">End-of-Life (Downstream - Scope 3):</w:t>
      </w:r>
      <w:r>
        <w:t xml:space="preserve"> </w:t>
      </w:r>
      <w:r>
        <w:t xml:space="preserve">Addresses emissions associated with the disposal, recycling, or other treatment of the product at the end of its useful life.</w:t>
      </w:r>
    </w:p>
    <w:p>
      <w:r>
        <w:pict>
          <v:rect style="width:0;height:1.5pt" o:hralign="center" o:hrstd="t" o:hr="t"/>
        </w:pict>
      </w:r>
    </w:p>
    <w:bookmarkEnd w:id="25"/>
    <w:bookmarkStart w:id="32" w:name="X7b6d01ce7b6bfe45f00681616505557cddf238f"/>
    <w:p>
      <w:pPr>
        <w:pStyle w:val="Heading2"/>
      </w:pPr>
      <w:r>
        <w:t xml:space="preserve">3. Data Collection (Primary/Secondary Data Points)</w:t>
      </w:r>
    </w:p>
    <w:bookmarkStart w:id="26" w:name="X93f12b5ed245ea51a3998245a42496bd520057c"/>
    <w:p>
      <w:pPr>
        <w:pStyle w:val="Heading3"/>
      </w:pPr>
      <w:r>
        <w:t xml:space="preserve">3.1. Detailed Bill of Materials (BOM) for sdqlwvto</w:t>
      </w:r>
    </w:p>
    <w:p>
      <w:pPr>
        <w:pStyle w:val="FirstParagraph"/>
      </w:pPr>
      <w:r>
        <w:t xml:space="preserve">The following detailed Bill of Materials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105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p>
            <w:pPr>
              <w:pStyle w:val="Compact"/>
              <w:jc w:val="left"/>
            </w:pPr>
            <w:r>
              <w:t xml:space="preserve">106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7.0</w:t>
            </w:r>
          </w:p>
        </w:tc>
        <w:tc>
          <w:tcPr/>
          <w:p>
            <w:pPr>
              <w:pStyle w:val="Compact"/>
              <w:jc w:val="left"/>
            </w:pPr>
            <w:r>
              <w:t xml:space="preserve">7.0</w:t>
            </w:r>
          </w:p>
        </w:tc>
      </w:tr>
    </w:tbl>
    <w:bookmarkEnd w:id="26"/>
    <w:bookmarkStart w:id="27" w:name="energy-inputs-for-production-phase"/>
    <w:p>
      <w:pPr>
        <w:pStyle w:val="Heading3"/>
      </w:pPr>
      <w:r>
        <w:t xml:space="preserve">3.2. Energy Inputs for Production Phase</w:t>
      </w:r>
    </w:p>
    <w:p>
      <w:pPr>
        <w:numPr>
          <w:ilvl w:val="0"/>
          <w:numId w:val="1004"/>
        </w:numPr>
        <w:pStyle w:val="Compact"/>
      </w:pPr>
      <w:r>
        <w:rPr>
          <w:bCs/>
          <w:b/>
        </w:rPr>
        <w:t xml:space="preserve">Renewable Energy Usage:</w:t>
      </w:r>
      <w:r>
        <w:t xml:space="preserve"> </w:t>
      </w:r>
      <w:r>
        <w:t xml:space="preserve">mzmwgxpkuh %</w:t>
      </w:r>
    </w:p>
    <w:p>
      <w:pPr>
        <w:numPr>
          <w:ilvl w:val="0"/>
          <w:numId w:val="1004"/>
        </w:numPr>
        <w:pStyle w:val="Compact"/>
      </w:pPr>
      <w:r>
        <w:rPr>
          <w:bCs/>
          <w:b/>
        </w:rPr>
        <w:t xml:space="preserve">Energy Intensity (kWh/unit):</w:t>
      </w:r>
      <w:r>
        <w:t xml:space="preserve"> </w:t>
      </w:r>
      <w:r>
        <w:t xml:space="preserve">hrpsemtyqn kWh/unit</w:t>
      </w:r>
    </w:p>
    <w:bookmarkEnd w:id="27"/>
    <w:bookmarkStart w:id="28" w:name="logistics-data"/>
    <w:p>
      <w:pPr>
        <w:pStyle w:val="Heading3"/>
      </w:pPr>
      <w:r>
        <w:t xml:space="preserve">3.3. Logistics Data</w:t>
      </w:r>
    </w:p>
    <w:p>
      <w:pPr>
        <w:numPr>
          <w:ilvl w:val="0"/>
          <w:numId w:val="1005"/>
        </w:numPr>
        <w:pStyle w:val="Compact"/>
      </w:pPr>
      <w:r>
        <w:rPr>
          <w:bCs/>
          <w:b/>
        </w:rPr>
        <w:t xml:space="preserve">Primary Upstream Transport Mode (Europe to China):</w:t>
      </w:r>
      <w:r>
        <w:t xml:space="preserve"> </w:t>
      </w:r>
      <w:r>
        <w:t xml:space="preserve">Ocean Freight (Assumed based on "Select Mode" and intercontinental distance).</w:t>
      </w:r>
    </w:p>
    <w:p>
      <w:pPr>
        <w:numPr>
          <w:ilvl w:val="0"/>
          <w:numId w:val="1005"/>
        </w:numPr>
        <w:pStyle w:val="Compact"/>
      </w:pPr>
      <w:r>
        <w:rPr>
          <w:bCs/>
          <w:b/>
        </w:rPr>
        <w:t xml:space="preserve">Primary Upstream Transport Distance:</w:t>
      </w:r>
      <w:r>
        <w:t xml:space="preserve"> </w:t>
      </w:r>
      <w:r>
        <w:t xml:space="preserve">jhjtmrsxll km (User provided).</w:t>
      </w:r>
    </w:p>
    <w:p>
      <w:pPr>
        <w:numPr>
          <w:ilvl w:val="0"/>
          <w:numId w:val="1005"/>
        </w:numPr>
        <w:pStyle w:val="Compact"/>
      </w:pPr>
      <w:r>
        <w:rPr>
          <w:bCs/>
          <w:b/>
        </w:rPr>
        <w:t xml:space="preserve">Downstream Last-Mile Delivery Channel (within Europe):</w:t>
      </w:r>
      <w:r>
        <w:t xml:space="preserve"> </w:t>
      </w:r>
      <w:r>
        <w:t xml:space="preserve">Road Freight (Assumed based on "Delivery Type").</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kjtknqfmsd years</w:t>
      </w:r>
    </w:p>
    <w:p>
      <w:pPr>
        <w:numPr>
          <w:ilvl w:val="0"/>
          <w:numId w:val="1006"/>
        </w:numPr>
        <w:pStyle w:val="Compact"/>
      </w:pPr>
      <w:r>
        <w:rPr>
          <w:bCs/>
          <w:b/>
        </w:rPr>
        <w:t xml:space="preserve">Energy Consumption in Use:</w:t>
      </w:r>
      <w:r>
        <w:t xml:space="preserve"> </w:t>
      </w:r>
      <w:r>
        <w:t xml:space="preserve">etxjygnpfy kWh (Total over lifespan, assumed).</w:t>
      </w:r>
    </w:p>
    <w:bookmarkEnd w:id="29"/>
    <w:bookmarkStart w:id="30" w:name="end-of-life-data"/>
    <w:p>
      <w:pPr>
        <w:pStyle w:val="Heading3"/>
      </w:pPr>
      <w:r>
        <w:t xml:space="preserve">3.5. End-of-Life Data</w:t>
      </w:r>
    </w:p>
    <w:p>
      <w:pPr>
        <w:numPr>
          <w:ilvl w:val="0"/>
          <w:numId w:val="1007"/>
        </w:numPr>
        <w:pStyle w:val="Compact"/>
      </w:pPr>
      <w:r>
        <w:rPr>
          <w:bCs/>
          <w:b/>
        </w:rPr>
        <w:t xml:space="preserve">Recyclability Percentage:</w:t>
      </w:r>
      <w:r>
        <w:t xml:space="preserve"> </w:t>
      </w:r>
      <w:r>
        <w:t xml:space="preserve">mesokgeqdo %</w:t>
      </w:r>
    </w:p>
    <w:p>
      <w:pPr>
        <w:numPr>
          <w:ilvl w:val="0"/>
          <w:numId w:val="1007"/>
        </w:numPr>
        <w:pStyle w:val="Compact"/>
      </w:pPr>
      <w:r>
        <w:rPr>
          <w:bCs/>
          <w:b/>
        </w:rPr>
        <w:t xml:space="preserve">Circular/Take-back Programs:</w:t>
      </w:r>
      <w:r>
        <w:t xml:space="preserve"> </w:t>
      </w:r>
      <w:r>
        <w:t xml:space="preserve">voivnyklyu (Acknowledged for impact on end-of-life scenarios).</w:t>
      </w:r>
    </w:p>
    <w:bookmarkEnd w:id="30"/>
    <w:bookmarkStart w:id="31" w:name="assumed-parameters-and-emission-factors"/>
    <w:p>
      <w:pPr>
        <w:pStyle w:val="Heading3"/>
      </w:pPr>
      <w:r>
        <w:t xml:space="preserve">3.6. Assumed Parameters and Emission Factors</w:t>
      </w:r>
    </w:p>
    <w:p>
      <w:pPr>
        <w:pStyle w:val="FirstParagraph"/>
      </w:pPr>
      <w:r>
        <w:t xml:space="preserve">To facilitate calculation where specific data was not provided or to align with industry averages, the following assumptions and emission factors (EFs) were used:</w:t>
      </w:r>
    </w:p>
    <w:p>
      <w:pPr>
        <w:numPr>
          <w:ilvl w:val="0"/>
          <w:numId w:val="1008"/>
        </w:numPr>
        <w:pStyle w:val="Compact"/>
      </w:pPr>
      <w:r>
        <w:rPr>
          <w:bCs/>
          <w:b/>
        </w:rPr>
        <w:t xml:space="preserve">Assumed Product Weight (for transport &amp; EoL):</w:t>
      </w:r>
      <w:r>
        <w:t xml:space="preserve"> </w:t>
      </w:r>
      <w:r>
        <w:t xml:space="preserve">5.0 kg per functional unit.</w:t>
      </w:r>
    </w:p>
    <w:p>
      <w:pPr>
        <w:numPr>
          <w:ilvl w:val="0"/>
          <w:numId w:val="1008"/>
        </w:numPr>
        <w:pStyle w:val="Compact"/>
      </w:pPr>
      <w:r>
        <w:rPr>
          <w:bCs/>
          <w:b/>
        </w:rPr>
        <w:t xml:space="preserve">China Electricity Grid Emission Factor:</w:t>
      </w:r>
      <w:r>
        <w:t xml:space="preserve"> </w:t>
      </w:r>
      <w:r>
        <w:t xml:space="preserve">0.6205 kg CO2e/kWh (National Average 2023).</w:t>
      </w:r>
    </w:p>
    <w:p>
      <w:pPr>
        <w:numPr>
          <w:ilvl w:val="0"/>
          <w:numId w:val="1008"/>
        </w:numPr>
        <w:pStyle w:val="Compact"/>
      </w:pPr>
      <w:r>
        <w:rPr>
          <w:bCs/>
          <w:b/>
        </w:rPr>
        <w:t xml:space="preserve">EU Electricity Grid Emission Factor (for Use Phase):</w:t>
      </w:r>
      <w:r>
        <w:t xml:space="preserve"> </w:t>
      </w:r>
      <w:r>
        <w:t xml:space="preserve">0.478 kg CO2e/kWh (EU-27 2022).</w:t>
      </w:r>
    </w:p>
    <w:p>
      <w:pPr>
        <w:numPr>
          <w:ilvl w:val="0"/>
          <w:numId w:val="1008"/>
        </w:numPr>
        <w:pStyle w:val="Compact"/>
      </w:pPr>
      <w:r>
        <w:rPr>
          <w:bCs/>
          <w:b/>
        </w:rPr>
        <w:t xml:space="preserve">Ocean Freight Emission Factor:</w:t>
      </w:r>
      <w:r>
        <w:t xml:space="preserve"> </w:t>
      </w:r>
      <w:r>
        <w:t xml:space="preserve">0.01612 kg CO2e/tonne-km.</w:t>
      </w:r>
    </w:p>
    <w:p>
      <w:pPr>
        <w:numPr>
          <w:ilvl w:val="0"/>
          <w:numId w:val="1008"/>
        </w:numPr>
        <w:pStyle w:val="Compact"/>
      </w:pPr>
      <w:r>
        <w:rPr>
          <w:bCs/>
          <w:b/>
        </w:rPr>
        <w:t xml:space="preserve">Road Freight Emission Factor:</w:t>
      </w:r>
      <w:r>
        <w:t xml:space="preserve"> </w:t>
      </w:r>
      <w:r>
        <w:t xml:space="preserve">0.062 kg CO2e/tonne-km.</w:t>
      </w:r>
    </w:p>
    <w:p>
      <w:pPr>
        <w:numPr>
          <w:ilvl w:val="0"/>
          <w:numId w:val="1008"/>
        </w:numPr>
        <w:pStyle w:val="Compact"/>
      </w:pPr>
      <w:r>
        <w:rPr>
          <w:bCs/>
          <w:b/>
        </w:rPr>
        <w:t xml:space="preserve">Assumed Primary Downstream Distribution Distance (China to European hub, Ocean Freight):</w:t>
      </w:r>
      <w:r>
        <w:t xml:space="preserve"> </w:t>
      </w:r>
      <w:r>
        <w:t xml:space="preserve">10,000 km.</w:t>
      </w:r>
    </w:p>
    <w:p>
      <w:pPr>
        <w:numPr>
          <w:ilvl w:val="0"/>
          <w:numId w:val="1008"/>
        </w:numPr>
        <w:pStyle w:val="Compact"/>
      </w:pPr>
      <w:r>
        <w:rPr>
          <w:bCs/>
          <w:b/>
        </w:rPr>
        <w:t xml:space="preserve">Assumed Last-Mile Delivery Distance (within Europe, Road Freight):</w:t>
      </w:r>
      <w:r>
        <w:t xml:space="preserve"> </w:t>
      </w:r>
      <w:r>
        <w:t xml:space="preserve">200 km.</w:t>
      </w:r>
    </w:p>
    <w:p>
      <w:pPr>
        <w:numPr>
          <w:ilvl w:val="0"/>
          <w:numId w:val="1008"/>
        </w:numPr>
        <w:pStyle w:val="Compact"/>
      </w:pPr>
      <w:r>
        <w:rPr>
          <w:bCs/>
          <w:b/>
        </w:rPr>
        <w:t xml:space="preserve">End-of-Life Disposal Emission Factor (Landfill/Incineration):</w:t>
      </w:r>
      <w:r>
        <w:t xml:space="preserve"> </w:t>
      </w:r>
      <w:r>
        <w:t xml:space="preserve">0.8 kg CO2e/kg (Assumed average for mixed waste disposal). Emissions from recycling processes are considered minimal compared to avoided virgin material production, and avoided emissions from recycling are reported separately as per GHG Protocol guidance.</w:t>
      </w:r>
    </w:p>
    <w:p>
      <w:pPr>
        <w:numPr>
          <w:ilvl w:val="0"/>
          <w:numId w:val="1008"/>
        </w:numPr>
        <w:pStyle w:val="Compact"/>
      </w:pPr>
      <w:r>
        <w:rPr>
          <w:bCs/>
          <w:b/>
        </w:rPr>
        <w:t xml:space="preserve">Renewable Energy Emission Factor:</w:t>
      </w:r>
      <w:r>
        <w:t xml:space="preserve"> </w:t>
      </w:r>
      <w:r>
        <w:t xml:space="preserve">0 kg CO2e/kWh at the point of use for directly procured renewable energy (reducing Scope 2).</w:t>
      </w:r>
    </w:p>
    <w:p>
      <w:r>
        <w:pict>
          <v:rect style="width:0;height:1.5pt" o:hralign="center" o:hrstd="t" o:hr="t"/>
        </w:pict>
      </w:r>
    </w:p>
    <w:bookmarkEnd w:id="31"/>
    <w:bookmarkEnd w:id="32"/>
    <w:bookmarkStart w:id="39" w:name="Xdd1c2ba429305467bad58a0828410d9d0fce25c"/>
    <w:p>
      <w:pPr>
        <w:pStyle w:val="Heading2"/>
      </w:pPr>
      <w:r>
        <w:t xml:space="preserve">4. Emissions Calculation (Activity * Emission Factor = CO2e)</w:t>
      </w:r>
    </w:p>
    <w:p>
      <w:pPr>
        <w:pStyle w:val="FirstParagraph"/>
      </w:pPr>
      <w:r>
        <w:t xml:space="preserve">All calculations are presented in kilograms of CO2 equivalent (kg CO2e).</w:t>
      </w:r>
    </w:p>
    <w:bookmarkStart w:id="33" w:name="Xff31e690bfe279af69cf88b9219fe5d56042afb"/>
    <w:p>
      <w:pPr>
        <w:pStyle w:val="Heading3"/>
      </w:pPr>
      <w:r>
        <w:t xml:space="preserve">4.1. Raw Material Acquisition &amp; Pre-processing (Scope 3 - Upstream)</w:t>
      </w:r>
    </w:p>
    <w:p>
      <w:pPr>
        <w:pStyle w:val="FirstParagraph"/>
      </w:pPr>
      <w:r>
        <w:t xml:space="preserve">Based on the provided Detailed Bill of Materials:</w:t>
      </w:r>
    </w:p>
    <w:p>
      <w:pPr>
        <w:pStyle w:val="BodyText"/>
      </w:pPr>
      <w:r>
        <w:t xml:space="preserve">$row) {</w:t>
      </w:r>
      <w:r>
        <w:t xml:space="preserve"> </w:t>
      </w:r>
      <w:r>
        <w:t xml:space="preserve">if ($index == 0) continue; // Skip header</w:t>
      </w:r>
      <w:r>
        <w:t xml:space="preserve"> </w:t>
      </w:r>
      <w:r>
        <w:t xml:space="preserve">$cols = explode(",", $row);</w:t>
      </w:r>
      <w:r>
        <w:t xml:space="preserve"> </w:t>
      </w:r>
      <w:r>
        <w:t xml:space="preserve">$material_emissions += floatval($cols);</w:t>
      </w:r>
      <w:r>
        <w:t xml:space="preserve"> </w:t>
      </w:r>
      <w:r>
        <w:t xml:space="preserve">}</w:t>
      </w:r>
      <w:r>
        <w:t xml:space="preserve"> </w:t>
      </w:r>
      <w:r>
        <w:t xml:space="preserve">echo "</w:t>
      </w:r>
    </w:p>
    <w:p>
      <w:pPr>
        <w:pStyle w:val="BodyText"/>
      </w:pPr>
      <w:r>
        <w:t xml:space="preserve">Total Material Production Emissions (from BOM):</w:t>
      </w:r>
      <w:r>
        <w:t xml:space="preserve"> </w:t>
      </w:r>
      <w:r>
        <w:rPr>
          <w:bCs/>
          <w:b/>
        </w:rPr>
        <w:t xml:space="preserve">" . number_format($material_emissions, 2) . " kg CO2e</w:t>
      </w:r>
    </w:p>
    <w:p>
      <w:pPr>
        <w:pStyle w:val="BodyText"/>
      </w:pPr>
      <w:r>
        <w:t xml:space="preserve">";</w:t>
      </w:r>
      <w:r>
        <w:t xml:space="preserve"> </w:t>
      </w:r>
      <w:r>
        <w:t xml:space="preserve">?&gt;</w:t>
      </w:r>
    </w:p>
    <w:bookmarkEnd w:id="33"/>
    <w:bookmarkStart w:id="34" w:name="manufacturing-production-scope-2"/>
    <w:p>
      <w:pPr>
        <w:pStyle w:val="Heading3"/>
      </w:pPr>
      <w:r>
        <w:t xml:space="preserve">4.2. Manufacturing / Production (Scope 2)</w:t>
      </w:r>
    </w:p>
    <w:bookmarkEnd w:id="34"/>
    <w:bookmarkStart w:id="35" w:name="X981923b8cb60f0edee598a5efe02199461582eb"/>
    <w:p>
      <w:pPr>
        <w:pStyle w:val="Heading3"/>
      </w:pPr>
      <w:r>
        <w:t xml:space="preserve">4.3. Transportation (Scope 3 - Upstream &amp; Downstream)</w:t>
      </w:r>
    </w:p>
    <w:bookmarkEnd w:id="35"/>
    <w:bookmarkStart w:id="36" w:name="use-phase-scope-3---downstream"/>
    <w:p>
      <w:pPr>
        <w:pStyle w:val="Heading3"/>
      </w:pPr>
      <w:r>
        <w:t xml:space="preserve">4.4. Use Phase (Scope 3 - Downstream)</w:t>
      </w:r>
    </w:p>
    <w:bookmarkEnd w:id="36"/>
    <w:bookmarkStart w:id="37" w:name="end-of-life-scope-3---downstream"/>
    <w:p>
      <w:pPr>
        <w:pStyle w:val="Heading3"/>
      </w:pPr>
      <w:r>
        <w:t xml:space="preserve">4.5. End-of-Life (Scope 3 - Downstream)</w:t>
      </w:r>
    </w:p>
    <w:bookmarkEnd w:id="37"/>
    <w:bookmarkStart w:id="38" w:name="total-product-carbon-footprint"/>
    <w:p>
      <w:pPr>
        <w:pStyle w:val="Heading3"/>
      </w:pPr>
      <w:r>
        <w:t xml:space="preserve">4.6. Total Product Carbon Footprint</w:t>
      </w:r>
    </w:p>
    <w:p>
      <w:r>
        <w:pict>
          <v:rect style="width:0;height:1.5pt" o:hralign="center" o:hrstd="t" o:hr="t"/>
        </w:pict>
      </w:r>
    </w:p>
    <w:bookmarkEnd w:id="38"/>
    <w:bookmarkEnd w:id="39"/>
    <w:bookmarkStart w:id="44" w:name="review-report"/>
    <w:p>
      <w:pPr>
        <w:pStyle w:val="Heading2"/>
      </w:pPr>
      <w:r>
        <w:t xml:space="preserve">5. Review &amp; Report</w:t>
      </w:r>
    </w:p>
    <w:bookmarkStart w:id="40" w:name="emission-hotspots-analysis"/>
    <w:p>
      <w:pPr>
        <w:pStyle w:val="Heading3"/>
      </w:pPr>
      <w:r>
        <w:t xml:space="preserve">5.1. Emission Hotspots Analysis</w:t>
      </w:r>
    </w:p>
    <w:p>
      <w:pPr>
        <w:pStyle w:val="FirstParagraph"/>
      </w:pPr>
      <w:r>
        <w:t xml:space="preserve">The lifecycle stage contributions to the total PCF are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pPr>
          </w:p>
        </w:tc>
        <w:tc>
          <w:tcPr/>
          <w:p>
            <w:pPr>
              <w:pStyle w:val="Compact"/>
              <w:jc w:val="left"/>
            </w:pPr>
            <w:r>
              <w:t xml:space="preserve">%</w:t>
            </w:r>
          </w:p>
        </w:tc>
      </w:tr>
      <w:tr>
        <w:tc>
          <w:tcPr/>
          <w:p>
            <w:pPr>
              <w:pStyle w:val="Compact"/>
              <w:jc w:val="left"/>
            </w:pPr>
            <w:r>
              <w:t xml:space="preserve">Manufacturing / Production</w:t>
            </w:r>
          </w:p>
        </w:tc>
        <w:tc>
          <w:tcPr/>
          <w:p>
            <w:pPr>
              <w:pStyle w:val="Compact"/>
              <w:jc w:val="left"/>
            </w:pPr>
            <w:r>
              <w:t xml:space="preserve">Scope 2</w:t>
            </w:r>
          </w:p>
        </w:tc>
        <w:tc>
          <w:tcPr/>
          <w:p>
            <w:pPr>
              <w:pStyle w:val="Compact"/>
            </w:pPr>
          </w:p>
        </w:tc>
        <w:tc>
          <w:tcPr/>
          <w:p>
            <w:pPr>
              <w:pStyle w:val="Compact"/>
              <w:jc w:val="left"/>
            </w:pPr>
            <w:r>
              <w:t xml:space="preserve">%</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pPr>
          </w:p>
        </w:tc>
        <w:tc>
          <w:tcPr/>
          <w:p>
            <w:pPr>
              <w:pStyle w:val="Compact"/>
              <w:jc w:val="left"/>
            </w:pPr>
            <w:r>
              <w:t xml:space="preserve">%</w:t>
            </w:r>
          </w:p>
        </w:tc>
      </w:tr>
      <w:tr>
        <w:tc>
          <w:tcPr/>
          <w:p>
            <w:pPr>
              <w:pStyle w:val="Compact"/>
              <w:jc w:val="left"/>
            </w:pPr>
            <w:r>
              <w:t xml:space="preserve">Use Phase</w:t>
            </w:r>
          </w:p>
        </w:tc>
        <w:tc>
          <w:tcPr/>
          <w:p>
            <w:pPr>
              <w:pStyle w:val="Compact"/>
              <w:jc w:val="left"/>
            </w:pPr>
            <w:r>
              <w:t xml:space="preserve">Scope 3 (Downstream)</w:t>
            </w:r>
          </w:p>
        </w:tc>
        <w:tc>
          <w:tcPr/>
          <w:p>
            <w:pPr>
              <w:pStyle w:val="Compact"/>
            </w:pPr>
          </w:p>
        </w:tc>
        <w:tc>
          <w:tcPr/>
          <w:p>
            <w:pPr>
              <w:pStyle w:val="Compact"/>
              <w:jc w:val="left"/>
            </w:pPr>
            <w:r>
              <w:t xml:space="preserve">%</w:t>
            </w:r>
          </w:p>
        </w:tc>
      </w:tr>
      <w:tr>
        <w:tc>
          <w:tcPr/>
          <w:p>
            <w:pPr>
              <w:pStyle w:val="Compact"/>
              <w:jc w:val="left"/>
            </w:pPr>
            <w:r>
              <w:t xml:space="preserve">End-of-Life Treatment</w:t>
            </w:r>
          </w:p>
        </w:tc>
        <w:tc>
          <w:tcPr/>
          <w:p>
            <w:pPr>
              <w:pStyle w:val="Compact"/>
              <w:jc w:val="left"/>
            </w:pPr>
            <w:r>
              <w:t xml:space="preserve">Scope 3 (Downstream)</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pPr>
          </w:p>
        </w:tc>
        <w:tc>
          <w:tcPr/>
          <w:p>
            <w:pPr>
              <w:pStyle w:val="Compact"/>
              <w:jc w:val="left"/>
            </w:pPr>
            <w:r>
              <w:rPr>
                <w:bCs/>
                <w:b/>
              </w:rPr>
              <w:t xml:space="preserve">100.00%</w:t>
            </w:r>
          </w:p>
        </w:tc>
      </w:tr>
    </w:tbl>
    <w:p>
      <w:pPr>
        <w:pStyle w:val="BodyText"/>
      </w:pPr>
      <w:r>
        <w:t xml:space="preserve">Key insights:</w:t>
      </w:r>
    </w:p>
    <w:p>
      <w:pPr>
        <w:numPr>
          <w:ilvl w:val="0"/>
          <w:numId w:val="1009"/>
        </w:numPr>
        <w:pStyle w:val="Compact"/>
      </w:pPr>
      <w:r>
        <w:t xml:space="preserve">The Raw Material Acquisition &amp; Pre-processing phase, largely driven by the specific BOM items (e.g., Lithium-ion Battery, Aluminum, Plastic), represents a significant portion of the total footprint.</w:t>
      </w:r>
    </w:p>
    <w:p>
      <w:pPr>
        <w:numPr>
          <w:ilvl w:val="0"/>
          <w:numId w:val="1009"/>
        </w:numPr>
        <w:pStyle w:val="Compact"/>
      </w:pPr>
      <w:r>
        <w:t xml:space="preserve">The Use Phase, due to energy consumption over the product\'s lifespan, is also a considerable hotspot.</w:t>
      </w:r>
    </w:p>
    <w:p>
      <w:pPr>
        <w:numPr>
          <w:ilvl w:val="0"/>
          <w:numId w:val="1009"/>
        </w:numPr>
        <w:pStyle w:val="Compact"/>
      </w:pPr>
      <w:r>
        <w:t xml:space="preserve">Transportation, particularly the long-distance international shipping, contributes notably to Scope 3 emissions.</w:t>
      </w:r>
    </w:p>
    <w:p>
      <w:pPr>
        <w:numPr>
          <w:ilvl w:val="0"/>
          <w:numId w:val="1009"/>
        </w:numPr>
        <w:pStyle w:val="Compact"/>
      </w:pPr>
      <w:r>
        <w:t xml:space="preserve">Manufacturing energy and end-of-life disposal, while contributing, are generally smaller proportions compared to materials and use phase, assuming high recyclability.</w:t>
      </w:r>
    </w:p>
    <w:bookmarkEnd w:id="40"/>
    <w:bookmarkStart w:id="41"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specific primary data where provided (BOM, energy usage, transport distance). However, certain limitations exist:</w:t>
      </w:r>
    </w:p>
    <w:p>
      <w:pPr>
        <w:numPr>
          <w:ilvl w:val="0"/>
          <w:numId w:val="1010"/>
        </w:numPr>
        <w:pStyle w:val="Compact"/>
      </w:pPr>
      <w:r>
        <w:rPr>
          <w:bCs/>
          <w:b/>
        </w:rPr>
        <w:t xml:space="preserve">Generic Emission Factors:</w:t>
      </w:r>
      <w:r>
        <w:t xml:space="preserve"> </w:t>
      </w:r>
      <w:r>
        <w:t xml:space="preserve">While industry-standard, generic emission factors (e.g., for electricity grid mixes, transport modes, EoL processes) have been used in the absence of supplier-specific or region-specific data for every component and process.</w:t>
      </w:r>
    </w:p>
    <w:p>
      <w:pPr>
        <w:numPr>
          <w:ilvl w:val="0"/>
          <w:numId w:val="1010"/>
        </w:numPr>
        <w:pStyle w:val="Compact"/>
      </w:pPr>
      <w:r>
        <w:rPr>
          <w:bCs/>
          <w:b/>
        </w:rPr>
        <w:t xml:space="preserve">Assumed Parameters:</w:t>
      </w:r>
      <w:r>
        <w:t xml:space="preserve"> </w:t>
      </w:r>
      <w:r>
        <w:t xml:space="preserve">Assumptions were made for product weight, downstream transport distances, and the interpretation of generic inputs like "Select Mode" and "Delivery Type."</w:t>
      </w:r>
    </w:p>
    <w:p>
      <w:pPr>
        <w:numPr>
          <w:ilvl w:val="0"/>
          <w:numId w:val="1010"/>
        </w:numPr>
        <w:pStyle w:val="Compact"/>
      </w:pPr>
      <w:r>
        <w:rPr>
          <w:bCs/>
          <w:b/>
        </w:rPr>
        <w:t xml:space="preserve">Dynamic Nature:</w:t>
      </w:r>
      <w:r>
        <w:t xml:space="preserve"> </w:t>
      </w:r>
      <w:r>
        <w:t xml:space="preserve">Emission factors and energy mixes are subject to change over time, and a static analysis reflects the current best available data.</w:t>
      </w:r>
    </w:p>
    <w:bookmarkEnd w:id="41"/>
    <w:bookmarkStart w:id="42" w:name="ghg-protocol-compliance-and-2026-updates"/>
    <w:p>
      <w:pPr>
        <w:pStyle w:val="Heading3"/>
      </w:pPr>
      <w:r>
        <w:t xml:space="preserve">5.3. GHG Protocol Compliance and 2026 Updates</w:t>
      </w:r>
    </w:p>
    <w:p>
      <w:pPr>
        <w:numPr>
          <w:ilvl w:val="0"/>
          <w:numId w:val="1011"/>
        </w:numPr>
        <w:pStyle w:val="Compact"/>
      </w:pPr>
      <w:r>
        <w:rPr>
          <w:bCs/>
          <w:b/>
        </w:rPr>
        <w:t xml:space="preserve">GHG Protocol Adherence:</w:t>
      </w:r>
      <w:r>
        <w:t xml:space="preserve"> </w:t>
      </w:r>
      <w:r>
        <w:t xml:space="preserve">This analysis strictly follows the GHG Protocol Product Standard, categorizing emissions into Scope 1 (direct), Scope 2 (purchased energy), and Scope 3 (value chain, encompassing upstream and downstream activities).</w:t>
      </w:r>
    </w:p>
    <w:p>
      <w:pPr>
        <w:numPr>
          <w:ilvl w:val="0"/>
          <w:numId w:val="1011"/>
        </w:numPr>
        <w:pStyle w:val="Compact"/>
      </w:pPr>
      <w:r>
        <w:rPr>
          <w:bCs/>
          <w:b/>
        </w:rPr>
        <w:t xml:space="preserve">2026 LSR Update:</w:t>
      </w:r>
      <w:r>
        <w:t xml:space="preserve"> </w:t>
      </w:r>
      <w:r>
        <w:t xml:space="preserve">The Land Sector and Removals (LSR) Standard has been conceptually applied. While specific land use change data was not provided for fzzmmetvno, dhqnupzpry should develop mechanisms to track and report emissions and removals from land use associated with their supply chain and direct operations in future iterations, aligning with the enhanced transparency required by the 2026 updates.</w:t>
      </w:r>
    </w:p>
    <w:p>
      <w:pPr>
        <w:numPr>
          <w:ilvl w:val="0"/>
          <w:numId w:val="1011"/>
        </w:numPr>
        <w:pStyle w:val="Compact"/>
      </w:pPr>
      <w:r>
        <w:rPr>
          <w:bCs/>
          <w:b/>
        </w:rPr>
        <w:t xml:space="preserve">Scope 3 Coverage:</w:t>
      </w:r>
      <w:r>
        <w:t xml:space="preserve"> </w:t>
      </w:r>
      <w:r>
        <w:t xml:space="preserve">Efforts have been made to ensure at least 95% coverage for Scope 3 reporting, encompassing all significant upstream and downstream categories relevant to fzzmmetvno\'s lifecycle.</w:t>
      </w:r>
    </w:p>
    <w:bookmarkEnd w:id="42"/>
    <w:bookmarkStart w:id="43" w:name="recommendations-for-dhqnupzpry"/>
    <w:p>
      <w:pPr>
        <w:pStyle w:val="Heading3"/>
      </w:pPr>
      <w:r>
        <w:t xml:space="preserve">5.4. Recommendations for dhqnupzpry</w:t>
      </w:r>
    </w:p>
    <w:p>
      <w:pPr>
        <w:numPr>
          <w:ilvl w:val="0"/>
          <w:numId w:val="1012"/>
        </w:numPr>
        <w:pStyle w:val="Compact"/>
      </w:pPr>
      <w:r>
        <w:rPr>
          <w:bCs/>
          <w:b/>
        </w:rPr>
        <w:t xml:space="preserve">Material Optimization:</w:t>
      </w:r>
      <w:r>
        <w:t xml:space="preserve"> </w:t>
      </w:r>
      <w:r>
        <w:t xml:space="preserve">Investigate opportunities to reduce the impact of high-carbon materials, especially the lithium-ion battery and aluminum, through design changes, material substitution, or increased use of recycled content.</w:t>
      </w:r>
    </w:p>
    <w:p>
      <w:pPr>
        <w:numPr>
          <w:ilvl w:val="0"/>
          <w:numId w:val="1012"/>
        </w:numPr>
        <w:pStyle w:val="Compact"/>
      </w:pPr>
      <w:r>
        <w:rPr>
          <w:bCs/>
          <w:b/>
        </w:rPr>
        <w:t xml:space="preserve">Supply Chain Engagement:</w:t>
      </w:r>
      <w:r>
        <w:t xml:space="preserve"> </w:t>
      </w:r>
      <w:r>
        <w:t xml:space="preserve">Work with suppliers to obtain more granular, primary emission data for raw materials and component manufacturing to further improve accuracy.</w:t>
      </w:r>
    </w:p>
    <w:p>
      <w:pPr>
        <w:numPr>
          <w:ilvl w:val="0"/>
          <w:numId w:val="1012"/>
        </w:numPr>
        <w:pStyle w:val="Compact"/>
      </w:pPr>
      <w:r>
        <w:rPr>
          <w:bCs/>
          <w:b/>
        </w:rPr>
        <w:t xml:space="preserve">Renewable Energy Expansion:</w:t>
      </w:r>
      <w:r>
        <w:t xml:space="preserve"> </w:t>
      </w:r>
      <w:r>
        <w:t xml:space="preserve">Continue to increase the share of renewable energy in manufacturing operations and explore options for influencing renewable energy adoption in the broader supply chain.</w:t>
      </w:r>
    </w:p>
    <w:p>
      <w:pPr>
        <w:numPr>
          <w:ilvl w:val="0"/>
          <w:numId w:val="1012"/>
        </w:numPr>
        <w:pStyle w:val="Compact"/>
      </w:pPr>
      <w:r>
        <w:rPr>
          <w:bCs/>
          <w:b/>
        </w:rPr>
        <w:t xml:space="preserve">Logistics Efficiency:</w:t>
      </w:r>
      <w:r>
        <w:t xml:space="preserve"> </w:t>
      </w:r>
      <w:r>
        <w:t xml:space="preserve">Optimize transport routes, explore lower-emission transport modes where feasible, and improve freight efficiency to reduce Scope 3 transport emissions.</w:t>
      </w:r>
    </w:p>
    <w:p>
      <w:pPr>
        <w:numPr>
          <w:ilvl w:val="0"/>
          <w:numId w:val="1012"/>
        </w:numPr>
        <w:pStyle w:val="Compact"/>
      </w:pPr>
      <w:r>
        <w:rPr>
          <w:bCs/>
          <w:b/>
        </w:rPr>
        <w:t xml:space="preserve">Use Phase Improvement:</w:t>
      </w:r>
      <w:r>
        <w:t xml:space="preserve"> </w:t>
      </w:r>
      <w:r>
        <w:t xml:space="preserve">Explore design choices that reduce energy consumption during the product\'s use phase, or extend product lifespan to dilute the per-year impact.</w:t>
      </w:r>
    </w:p>
    <w:p>
      <w:pPr>
        <w:numPr>
          <w:ilvl w:val="0"/>
          <w:numId w:val="1012"/>
        </w:numPr>
        <w:pStyle w:val="Compact"/>
      </w:pPr>
      <w:r>
        <w:rPr>
          <w:bCs/>
          <w:b/>
        </w:rPr>
        <w:t xml:space="preserve">Circular Economy Initiatives:</w:t>
      </w:r>
      <w:r>
        <w:t xml:space="preserve"> </w:t>
      </w:r>
      <w:r>
        <w:t xml:space="preserve">Leverage "voivnyklyu" circular/take-back programs to maximize product longevity, repairability, and high-quality recycling, reducing the reliance on virgin materials and minimizing end-of-life disposal.</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fzzmmetvno</dc:title>
  <dc:creator/>
  <dc:description>Detailed Product Carbon Footprint (PCF) analysis report for fzzmmetvno, performed by wxdwyjfkwo, Senior Sustainability Consultant for dhqnupzpry, adhering to GHG Protocol.</dc:description>
  <dc:language>en</dc:language>
  <cp:keywords/>
  <dcterms:created xsi:type="dcterms:W3CDTF">2026-07-15T19:40:48Z</dcterms:created>
  <dcterms:modified xsi:type="dcterms:W3CDTF">2026-07-15T19:40:48Z</dcterms:modified>
</cp:coreProperties>
</file>

<file path=docProps/custom.xml><?xml version="1.0" encoding="utf-8"?>
<Properties xmlns="http://schemas.openxmlformats.org/officeDocument/2006/custom-properties" xmlns:vt="http://schemas.openxmlformats.org/officeDocument/2006/docPropsVTypes"/>
</file>