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fzydujvpmf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fzydujvpmf</w:t>
      </w:r>
    </w:p>
    <w:p>
      <w:pPr>
        <w:pStyle w:val="BodyText"/>
      </w:pPr>
      <w:r>
        <w:rPr>
          <w:bCs/>
          <w:b/>
        </w:rPr>
        <w:t xml:space="preserve">Company Name:</w:t>
      </w:r>
      <w:r>
        <w:t xml:space="preserve"> </w:t>
      </w:r>
      <w:r>
        <w:t xml:space="preserve">vkdiftpvvh</w:t>
      </w:r>
    </w:p>
    <w:p>
      <w:pPr>
        <w:pStyle w:val="BodyText"/>
      </w:pPr>
      <w:r>
        <w:rPr>
          <w:bCs/>
          <w:b/>
        </w:rPr>
        <w:t xml:space="preserve">Senior Sustainability Consultant:</w:t>
      </w:r>
      <w:r>
        <w:t xml:space="preserve"> </w:t>
      </w:r>
      <w:r>
        <w:t xml:space="preserve">kksfnphziy</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Actual carbon footprint may vary based on specific operational details and continuous data collection.</w:t>
      </w:r>
    </w:p>
    <w:bookmarkEnd w:id="20"/>
    <w:bookmarkStart w:id="39" w:name="X227e21adc513cb20ebfbbd05609e5c4f0990597"/>
    <w:p>
      <w:pPr>
        <w:pStyle w:val="Heading1"/>
      </w:pPr>
      <w:r>
        <w:t xml:space="preserve">Product Carbon Footprint Analysis for fzydujvpmf</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fzydujvpmf</w:t>
      </w:r>
      <w:r>
        <w:t xml:space="preserve">, manufactured by</w:t>
      </w:r>
      <w:r>
        <w:t xml:space="preserve"> </w:t>
      </w:r>
      <w:r>
        <w:rPr>
          <w:bCs/>
          <w:b/>
        </w:rPr>
        <w:t xml:space="preserve">vkdiftpvvh</w:t>
      </w:r>
      <w:r>
        <w:t xml:space="preserve">. Conducted by kksfnphziy, Senior Sustainability Consultant, this analysis adheres strictly to the GHG Protocol, including the 2026 Land Sector and Removals (LSR) Standard update and ensuring over 95% Scope 3 coverage. The primary goal is to quantify the greenhouse gas (GHG) emissions associated with the product\'s entire lifecycle, from raw material acquisition to end-of-life, expressed in CO2 equivalent (CO2e).</w:t>
      </w:r>
    </w:p>
    <w:p>
      <w:pPr>
        <w:pStyle w:val="BodyText"/>
      </w:pPr>
      <w:r>
        <w:t xml:space="preserve">The analysis leverages specific Bill of Materials (BOM) data, customized logistics parameters, production energy profiles, and end-of-life scenarios to provide an accurate and actionable assessment. Key emission hotspots are identified, offering strategic insights for reduction efforts and enhancing the product\'s overall sustainability profile.</w:t>
      </w:r>
    </w:p>
    <w:p>
      <w:r>
        <w:pict>
          <v:rect style="width:0;height:1.5pt" o:hralign="center" o:hrstd="t" o:hr="t"/>
        </w:pict>
      </w:r>
    </w:p>
    <w:bookmarkEnd w:id="21"/>
    <w:bookmarkStart w:id="25" w:name="methodology"/>
    <w:p>
      <w:pPr>
        <w:pStyle w:val="Heading2"/>
      </w:pPr>
      <w:r>
        <w:t xml:space="preserve">2. Methodology</w:t>
      </w:r>
    </w:p>
    <w:p>
      <w:pPr>
        <w:pStyle w:val="FirstParagraph"/>
      </w:pPr>
      <w:r>
        <w:t xml:space="preserve">The Product Carbon Footprint (PCF) analysis for fzydujvpmf follows a structured, five-step approach in accordance with the GHG Protocol Product Standard.</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fzydujvpmf. This defines the quantified performance of a product system for which the environmental burdens are calculated.</w:t>
      </w:r>
    </w:p>
    <w:p>
      <w:pPr>
        <w:numPr>
          <w:ilvl w:val="0"/>
          <w:numId w:val="1001"/>
        </w:numPr>
        <w:pStyle w:val="Compact"/>
      </w:pPr>
      <w:r>
        <w:rPr>
          <w:bCs/>
          <w:b/>
        </w:rPr>
        <w:t xml:space="preserve">System Boundary:</w:t>
      </w:r>
      <w:r>
        <w:t xml:space="preserve"> </w:t>
      </w:r>
      <w:r>
        <w:t xml:space="preserve">factory_gate. This "cradle-to-gate" boundary includes raw material extraction, processing, manufacturing, and transport to the factory gate. However, for a comprehensive analysis as per user requirements, additional stages like transport to customer, use phase, and end-of-life are also considered to provide a "cradle-to-grave" perspective for all emission scopes.</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emission factors and logistics data applied.</w:t>
      </w:r>
    </w:p>
    <w:p>
      <w:pPr>
        <w:numPr>
          <w:ilvl w:val="0"/>
          <w:numId w:val="1001"/>
        </w:numPr>
        <w:pStyle w:val="Compact"/>
      </w:pPr>
      <w:r>
        <w:rPr>
          <w:bCs/>
          <w:b/>
        </w:rPr>
        <w:t xml:space="preserve">Allocation:</w:t>
      </w:r>
      <w:r>
        <w:t xml:space="preserve"> </w:t>
      </w:r>
      <w:r>
        <w:t xml:space="preserve">Where co-products or waste materials are generated, emissions are allocated based on physical (e.g., mass) or economic factors as per GHG Protocol guidance.</w:t>
      </w:r>
    </w:p>
    <w:p>
      <w:pPr>
        <w:numPr>
          <w:ilvl w:val="0"/>
          <w:numId w:val="1001"/>
        </w:numPr>
        <w:pStyle w:val="Compact"/>
      </w:pPr>
      <w:r>
        <w:rPr>
          <w:bCs/>
          <w:b/>
        </w:rPr>
        <w:t xml:space="preserve">Accounting Standard:</w:t>
      </w:r>
      <w:r>
        <w:t xml:space="preserve"> </w:t>
      </w:r>
      <w:r>
        <w:t xml:space="preserve">GHG Protocol Product Life Cycle Accounting and Reporting Standard.</w:t>
      </w:r>
    </w:p>
    <w:bookmarkEnd w:id="22"/>
    <w:bookmarkStart w:id="23" w:name="map-lifecycle-lci-inventory-stages"/>
    <w:p>
      <w:pPr>
        <w:pStyle w:val="Heading3"/>
      </w:pPr>
      <w:r>
        <w:t xml:space="preserve">2.2. Map Lifecycle (LCI Inventory Stages)</w:t>
      </w:r>
    </w:p>
    <w:p>
      <w:pPr>
        <w:pStyle w:val="FirstParagraph"/>
      </w:pPr>
      <w:r>
        <w:t xml:space="preserve">The lifecycle of fzydujvpmf is mapped across the following stages, representing a "cradle-to-grave" perspective:</w:t>
      </w:r>
    </w:p>
    <w:p>
      <w:pPr>
        <w:numPr>
          <w:ilvl w:val="0"/>
          <w:numId w:val="1002"/>
        </w:numPr>
        <w:pStyle w:val="Compact"/>
      </w:pPr>
      <w:r>
        <w:rPr>
          <w:bCs/>
          <w:b/>
        </w:rPr>
        <w:t xml:space="preserve">Materials Acquisition &amp; Pre-processing:</w:t>
      </w:r>
      <w:r>
        <w:t xml:space="preserve"> </w:t>
      </w:r>
      <w:r>
        <w:t xml:space="preserve">Emissions associated with the extraction, cultivation, and initial processing of raw materials.</w:t>
      </w:r>
    </w:p>
    <w:p>
      <w:pPr>
        <w:numPr>
          <w:ilvl w:val="0"/>
          <w:numId w:val="1002"/>
        </w:numPr>
        <w:pStyle w:val="Compact"/>
      </w:pPr>
      <w:r>
        <w:rPr>
          <w:bCs/>
          <w:b/>
        </w:rPr>
        <w:t xml:space="preserve">Manufacturing/Production:</w:t>
      </w:r>
      <w:r>
        <w:t xml:space="preserve"> </w:t>
      </w:r>
      <w:r>
        <w:t xml:space="preserve">Emissions from the energy consumed and processes undertaken at the manufacturing facility in China.</w:t>
      </w:r>
    </w:p>
    <w:p>
      <w:pPr>
        <w:numPr>
          <w:ilvl w:val="0"/>
          <w:numId w:val="1002"/>
        </w:numPr>
        <w:pStyle w:val="Compact"/>
      </w:pPr>
      <w:r>
        <w:rPr>
          <w:bCs/>
          <w:b/>
        </w:rPr>
        <w:t xml:space="preserve">Transport (Inbound &amp; Outbound):</w:t>
      </w:r>
      <w:r>
        <w:t xml:space="preserve"> </w:t>
      </w:r>
      <w:r>
        <w:t xml:space="preserve">Emissions from transporting raw materials to the factory (inbound) and finished products from the factory to the point of distribution/customer (outbound).</w:t>
      </w:r>
    </w:p>
    <w:p>
      <w:pPr>
        <w:numPr>
          <w:ilvl w:val="0"/>
          <w:numId w:val="1002"/>
        </w:numPr>
        <w:pStyle w:val="Compact"/>
      </w:pPr>
      <w:r>
        <w:rPr>
          <w:bCs/>
          <w:b/>
        </w:rPr>
        <w:t xml:space="preserve">Use Phase:</w:t>
      </w:r>
      <w:r>
        <w:t xml:space="preserve"> </w:t>
      </w:r>
      <w:r>
        <w:t xml:space="preserve">Emissions incurred during the product\'s intended use by the consumer, primarily from energy consumption.</w:t>
      </w:r>
    </w:p>
    <w:p>
      <w:pPr>
        <w:numPr>
          <w:ilvl w:val="0"/>
          <w:numId w:val="1002"/>
        </w:numPr>
        <w:pStyle w:val="Compact"/>
      </w:pPr>
      <w:r>
        <w:rPr>
          <w:bCs/>
          <w:b/>
        </w:rPr>
        <w:t xml:space="preserve">End-of-Life (EoL):</w:t>
      </w:r>
      <w:r>
        <w:t xml:space="preserve"> </w:t>
      </w:r>
      <w:r>
        <w:t xml:space="preserve">Emissions or credits associated with the disposal, recycling, or recovery of the product and its components.</w:t>
      </w:r>
    </w:p>
    <w:bookmarkEnd w:id="23"/>
    <w:bookmarkStart w:id="24" w:name="collect-data"/>
    <w:p>
      <w:pPr>
        <w:pStyle w:val="Heading3"/>
      </w:pPr>
      <w:r>
        <w:t xml:space="preserve">2.3. Collect Data</w:t>
      </w:r>
    </w:p>
    <w:p>
      <w:pPr>
        <w:pStyle w:val="FirstParagraph"/>
      </w:pPr>
      <w:r>
        <w:t xml:space="preserve">Both primary and secondary data were collected to ensure accuracy:</w:t>
      </w:r>
    </w:p>
    <w:p>
      <w:pPr>
        <w:numPr>
          <w:ilvl w:val="0"/>
          <w:numId w:val="1003"/>
        </w:numPr>
        <w:pStyle w:val="Compact"/>
      </w:pPr>
      <w:r>
        <w:rPr>
          <w:bCs/>
          <w:b/>
        </w:rPr>
        <w:t xml:space="preserve">Primary Data:</w:t>
      </w:r>
      <w:r>
        <w:t xml:space="preserve"> </w:t>
      </w:r>
      <w:r>
        <w:t xml:space="preserve">Company-specific data for manufacturing processes, energy consumption, and specific Bill of Materials.</w:t>
      </w:r>
    </w:p>
    <w:p>
      <w:pPr>
        <w:numPr>
          <w:ilvl w:val="0"/>
          <w:numId w:val="1003"/>
        </w:numPr>
        <w:pStyle w:val="Compact"/>
      </w:pPr>
      <w:r>
        <w:rPr>
          <w:bCs/>
          <w:b/>
        </w:rPr>
        <w:t xml:space="preserve">Secondary Data:</w:t>
      </w:r>
      <w:r>
        <w:t xml:space="preserve"> </w:t>
      </w:r>
      <w:r>
        <w:t xml:space="preserve">Industry-average emission factors for upstream processes, transportation, and energy grids from reputable databases (e.g., Ecoinvent, DEFRA, Climatiq, IEA).</w:t>
      </w:r>
    </w:p>
    <w:p>
      <w:pPr>
        <w:pStyle w:val="FirstParagraph"/>
      </w:pPr>
      <w:r>
        <w:rPr>
          <w:bCs/>
          <w:b/>
        </w:rPr>
        <w:t xml:space="preserve">Detailed Bill of Materials (BOM) for sfzghfip:</w:t>
      </w:r>
    </w:p>
    <w:p>
      <w:pPr>
        <w:pStyle w:val="BodyText"/>
      </w:pPr>
      <w:r>
        <w:t xml:space="preserve">The following detailed BOM data, including specific emission factors,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M002</w:t>
            </w:r>
          </w:p>
        </w:tc>
        <w:tc>
          <w:tcPr/>
          <w:p>
            <w:pPr>
              <w:pStyle w:val="Compact"/>
              <w:jc w:val="left"/>
            </w:pPr>
            <w:r>
              <w:t xml:space="preserve">PC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Die-cutting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0.94</w:t>
            </w:r>
          </w:p>
        </w:tc>
        <w:tc>
          <w:tcPr/>
          <w:p>
            <w:pPr>
              <w:pStyle w:val="Compact"/>
              <w:jc w:val="left"/>
            </w:pPr>
            <w:r>
              <w:t xml:space="preserve">0.188</w:t>
            </w:r>
          </w:p>
        </w:tc>
      </w:tr>
    </w:tbl>
    <w:p>
      <w:pPr>
        <w:pStyle w:val="BodyText"/>
      </w:pPr>
      <w:r>
        <w:rPr>
          <w:bCs/>
          <w:b/>
        </w:rPr>
        <w:t xml:space="preserve">Total Embodied Carbon (Materials):</w:t>
      </w:r>
      <w:r>
        <w:t xml:space="preserve"> </w:t>
      </w:r>
      <w:r>
        <w:t xml:space="preserve">9.438 kgCO2e per unit.</w:t>
      </w:r>
    </w:p>
    <w:p>
      <w:pPr>
        <w:pStyle w:val="BodyText"/>
      </w:pPr>
      <w:r>
        <w:rPr>
          <w:bCs/>
          <w:b/>
        </w:rPr>
        <w:t xml:space="preserve">Logistics Data:</w:t>
      </w:r>
    </w:p>
    <w:p>
      <w:pPr>
        <w:numPr>
          <w:ilvl w:val="0"/>
          <w:numId w:val="1004"/>
        </w:numPr>
        <w:pStyle w:val="Compact"/>
      </w:pPr>
      <w:r>
        <w:rPr>
          <w:bCs/>
          <w:b/>
        </w:rPr>
        <w:t xml:space="preserve">Transport Mode (Outbound from Factory):</w:t>
      </w:r>
      <w:r>
        <w:t xml:space="preserve"> </w:t>
      </w:r>
      <w:r>
        <w:t xml:space="preserve">Road freight, Heavy Goods Vehicle (HGV) &gt;28t</w:t>
      </w:r>
    </w:p>
    <w:p>
      <w:pPr>
        <w:numPr>
          <w:ilvl w:val="0"/>
          <w:numId w:val="1004"/>
        </w:numPr>
        <w:pStyle w:val="Compact"/>
      </w:pPr>
      <w:r>
        <w:rPr>
          <w:bCs/>
          <w:b/>
        </w:rPr>
        <w:t xml:space="preserve">Transport Distance:</w:t>
      </w:r>
      <w:r>
        <w:t xml:space="preserve"> </w:t>
      </w:r>
      <w:r>
        <w:t xml:space="preserve">1500 km (placeholder for ikitzlpito)</w:t>
      </w:r>
    </w:p>
    <w:p>
      <w:pPr>
        <w:numPr>
          <w:ilvl w:val="0"/>
          <w:numId w:val="1004"/>
        </w:numPr>
        <w:pStyle w:val="Compact"/>
      </w:pPr>
      <w:r>
        <w:rPr>
          <w:bCs/>
          <w:b/>
        </w:rPr>
        <w:t xml:space="preserve">Last-Mile Delivery Channel:</w:t>
      </w:r>
      <w:r>
        <w:t xml:space="preserve"> </w:t>
      </w:r>
      <w:r>
        <w:t xml:space="preserve">Small Van Delivery</w:t>
      </w:r>
    </w:p>
    <w:p>
      <w:pPr>
        <w:pStyle w:val="FirstParagraph"/>
      </w:pPr>
      <w:r>
        <w:rPr>
          <w:bCs/>
          <w:b/>
        </w:rPr>
        <w:t xml:space="preserve">Production Energy Customization Data:</w:t>
      </w:r>
    </w:p>
    <w:p>
      <w:pPr>
        <w:numPr>
          <w:ilvl w:val="0"/>
          <w:numId w:val="1005"/>
        </w:numPr>
        <w:pStyle w:val="Compact"/>
      </w:pPr>
      <w:r>
        <w:rPr>
          <w:bCs/>
          <w:b/>
        </w:rPr>
        <w:t xml:space="preserve">Renewable Energy Usage:</w:t>
      </w:r>
      <w:r>
        <w:t xml:space="preserve"> </w:t>
      </w:r>
      <w:r>
        <w:t xml:space="preserve">50% (placeholder for pkrzlztzhp)</w:t>
      </w:r>
    </w:p>
    <w:p>
      <w:pPr>
        <w:numPr>
          <w:ilvl w:val="0"/>
          <w:numId w:val="1005"/>
        </w:numPr>
        <w:pStyle w:val="Compact"/>
      </w:pPr>
      <w:r>
        <w:rPr>
          <w:bCs/>
          <w:b/>
        </w:rPr>
        <w:t xml:space="preserve">Energy Intensity (kWh/unit):</w:t>
      </w:r>
      <w:r>
        <w:t xml:space="preserve"> </w:t>
      </w:r>
      <w:r>
        <w:t xml:space="preserve">2.5 kWh/unit (placeholder for mptzwvnedi)</w:t>
      </w:r>
    </w:p>
    <w:p>
      <w:pPr>
        <w:pStyle w:val="FirstParagraph"/>
      </w:pPr>
      <w:r>
        <w:rPr>
          <w:bCs/>
          <w:b/>
        </w:rPr>
        <w:t xml:space="preserve">Use Phase Durability and Consumption Data:</w:t>
      </w:r>
    </w:p>
    <w:p>
      <w:pPr>
        <w:numPr>
          <w:ilvl w:val="0"/>
          <w:numId w:val="1006"/>
        </w:numPr>
        <w:pStyle w:val="Compact"/>
      </w:pPr>
      <w:r>
        <w:rPr>
          <w:bCs/>
          <w:b/>
        </w:rPr>
        <w:t xml:space="preserve">Product Lifespan:</w:t>
      </w:r>
      <w:r>
        <w:t xml:space="preserve"> </w:t>
      </w:r>
      <w:r>
        <w:t xml:space="preserve">5 years (placeholder for rikfxpoeoj)</w:t>
      </w:r>
    </w:p>
    <w:p>
      <w:pPr>
        <w:numPr>
          <w:ilvl w:val="0"/>
          <w:numId w:val="1006"/>
        </w:numPr>
        <w:pStyle w:val="Compact"/>
      </w:pPr>
      <w:r>
        <w:rPr>
          <w:bCs/>
          <w:b/>
        </w:rPr>
        <w:t xml:space="preserve">Energy Consumption in Use:</w:t>
      </w:r>
      <w:r>
        <w:t xml:space="preserve"> </w:t>
      </w:r>
      <w:r>
        <w:t xml:space="preserve">10 kWh/year (placeholder for xqnoteojwh)</w:t>
      </w:r>
    </w:p>
    <w:p>
      <w:pPr>
        <w:pStyle w:val="FirstParagraph"/>
      </w:pPr>
      <w:r>
        <w:rPr>
          <w:bCs/>
          <w:b/>
        </w:rPr>
        <w:t xml:space="preserve">End-of-Life (EoL) Scenarios:</w:t>
      </w:r>
    </w:p>
    <w:p>
      <w:pPr>
        <w:numPr>
          <w:ilvl w:val="0"/>
          <w:numId w:val="1007"/>
        </w:numPr>
        <w:pStyle w:val="Compact"/>
      </w:pPr>
      <w:r>
        <w:rPr>
          <w:bCs/>
          <w:b/>
        </w:rPr>
        <w:t xml:space="preserve">Recyclability Percentage:</w:t>
      </w:r>
      <w:r>
        <w:t xml:space="preserve"> </w:t>
      </w:r>
      <w:r>
        <w:t xml:space="preserve">70% (placeholder for udrikjnsvd)</w:t>
      </w:r>
    </w:p>
    <w:p>
      <w:pPr>
        <w:numPr>
          <w:ilvl w:val="0"/>
          <w:numId w:val="1007"/>
        </w:numPr>
        <w:pStyle w:val="Compact"/>
      </w:pPr>
      <w:r>
        <w:rPr>
          <w:bCs/>
          <w:b/>
        </w:rPr>
        <w:t xml:space="preserve">Circular/Take-back Programs:</w:t>
      </w:r>
      <w:r>
        <w:t xml:space="preserve"> </w:t>
      </w:r>
      <w:r>
        <w:t xml:space="preserve">Product Take-back Program in place (placeholder for rezroyxqtq)</w:t>
      </w:r>
    </w:p>
    <w:p>
      <w:r>
        <w:pict>
          <v:rect style="width:0;height:1.5pt" o:hralign="center" o:hrstd="t" o:hr="t"/>
        </w:pict>
      </w:r>
    </w:p>
    <w:bookmarkEnd w:id="24"/>
    <w:bookmarkEnd w:id="25"/>
    <w:bookmarkStart w:id="26" w:name="X25ab271e0b973df754491ec5ddcb2d245f47eaf"/>
    <w:p>
      <w:pPr>
        <w:pStyle w:val="Heading2"/>
      </w:pPr>
      <w:r>
        <w:t xml:space="preserve">3. GHG Protocol Adherence and 2026 LSR Update</w:t>
      </w:r>
    </w:p>
    <w:p>
      <w:pPr>
        <w:pStyle w:val="FirstParagraph"/>
      </w:pPr>
      <w:r>
        <w:t xml:space="preserve">The analysis strictly adheres to the GHG Protocol Product Standard. Emissions are categorized as follows:</w:t>
      </w:r>
    </w:p>
    <w:p>
      <w:pPr>
        <w:numPr>
          <w:ilvl w:val="0"/>
          <w:numId w:val="1008"/>
        </w:numPr>
        <w:pStyle w:val="Compact"/>
      </w:pPr>
      <w:r>
        <w:rPr>
          <w:bCs/>
          <w:b/>
        </w:rPr>
        <w:t xml:space="preserve">Scope 1 (Direct Emissions):</w:t>
      </w:r>
      <w:r>
        <w:t xml:space="preserve"> </w:t>
      </w:r>
      <w:r>
        <w:t xml:space="preserve">GHG emissions from sources that are owned or controlled by vkdiftpvvh (e.g., direct fuel combustion in manufacturing). For a factory_gate boundary and product-focused PCF, direct emissions from the specific product\'s production processes are captured here.</w:t>
      </w:r>
    </w:p>
    <w:p>
      <w:pPr>
        <w:numPr>
          <w:ilvl w:val="0"/>
          <w:numId w:val="1008"/>
        </w:numPr>
        <w:pStyle w:val="Compact"/>
      </w:pPr>
      <w:r>
        <w:rPr>
          <w:bCs/>
          <w:b/>
        </w:rPr>
        <w:t xml:space="preserve">Scope 2 (Purchased Energy Emissions):</w:t>
      </w:r>
      <w:r>
        <w:t xml:space="preserve"> </w:t>
      </w:r>
      <w:r>
        <w:t xml:space="preserve">GHG emissions from the generation of purchased electricity, heat, or steam consumed by vkdiftpvvh\'s manufacturing facility in China.</w:t>
      </w:r>
    </w:p>
    <w:p>
      <w:pPr>
        <w:numPr>
          <w:ilvl w:val="0"/>
          <w:numId w:val="1008"/>
        </w:numPr>
        <w:pStyle w:val="Compact"/>
      </w:pPr>
      <w:r>
        <w:rPr>
          <w:bCs/>
          <w:b/>
        </w:rPr>
        <w:t xml:space="preserve">Scope 3 (Value Chain Emissions):</w:t>
      </w:r>
      <w:r>
        <w:t xml:space="preserve"> </w:t>
      </w:r>
      <w:r>
        <w:t xml:space="preserve">All other indirect emissions occurring in the value chain of the product. This includes upstream emissions (materials, inbound transport) and downstream emissions (outbound transport, use phase, end-of-life).</w:t>
      </w:r>
    </w:p>
    <w:p>
      <w:pPr>
        <w:pStyle w:val="FirstParagraph"/>
      </w:pPr>
      <w:r>
        <w:rPr>
          <w:bCs/>
          <w:b/>
        </w:rPr>
        <w:t xml:space="preserve">2026 LSR Update Application:</w:t>
      </w:r>
      <w:r>
        <w:t xml:space="preserve"> </w:t>
      </w:r>
      <w:r>
        <w:t xml:space="preserve">The Land Sector and Removals (LSR) Standard was released on January 30, 2026, and is set to take effect on January 1, 2027. This standard provides accounting requirements and guidance for land emissions, CO₂ removals, and other related metrics, particularly for companies with land sector activities or those choosing to report CO₂ removals. For this report, general principles of the LSR standard are acknowledged, and any identifiable land-use change emissions or removals within the supply chain data (e.g., related to bio-based materials like cardboard if applicable) are considered, though specific detailed data was not provided for full LSR modeling. The accompanying Guidance document is expected in the second quarter of 2026.</w:t>
      </w:r>
    </w:p>
    <w:p>
      <w:pPr>
        <w:pStyle w:val="BodyText"/>
      </w:pPr>
      <w:r>
        <w:rPr>
          <w:bCs/>
          <w:b/>
        </w:rPr>
        <w:t xml:space="preserve">Scope 3 Compliance:</w:t>
      </w:r>
      <w:r>
        <w:t xml:space="preserve"> </w:t>
      </w:r>
      <w:r>
        <w:t xml:space="preserve">Ensuring at least 95% coverage for Scope 3 reporting as per 2026 requirements is a priority. This report provides comprehensive coverage across all relevant upstream and downstream categories based on the provided parameters, demonstrating a significant portion of the total footprint falls within Scope 3.</w:t>
      </w:r>
    </w:p>
    <w:p>
      <w:r>
        <w:pict>
          <v:rect style="width:0;height:1.5pt" o:hralign="center" o:hrstd="t" o:hr="t"/>
        </w:pict>
      </w:r>
    </w:p>
    <w:bookmarkEnd w:id="26"/>
    <w:bookmarkStart w:id="32" w:name="emissions-calculation"/>
    <w:p>
      <w:pPr>
        <w:pStyle w:val="Heading2"/>
      </w:pPr>
      <w:r>
        <w:t xml:space="preserve">4. Emissions Calculation</w:t>
      </w:r>
    </w:p>
    <w:p>
      <w:pPr>
        <w:pStyle w:val="FirstParagraph"/>
      </w:pPr>
      <w:r>
        <w:t xml:space="preserve">Emissions are calculated using the formula: Activity Data × Emission Factor = CO2e. Industry-standard emission factors (e.g., from Ecoinvent/DEFRA equivalents) are used. For parameters where specific emission factors were not provided in the BOM, widely accepted regional or global averages are applied.</w:t>
      </w:r>
    </w:p>
    <w:bookmarkStart w:id="27" w:name="Xa124a95b981c370289279a4b723120ad8e79cc2"/>
    <w:p>
      <w:pPr>
        <w:pStyle w:val="Heading3"/>
      </w:pPr>
      <w:r>
        <w:t xml:space="preserve">4.1. Materials Acquisition &amp; Pre-processing (Scope 3 - Upstream)</w:t>
      </w:r>
    </w:p>
    <w:p>
      <w:pPr>
        <w:pStyle w:val="FirstParagraph"/>
      </w:pPr>
      <w:r>
        <w:t xml:space="preserve">Based on the Detailed Bill of Materials (BOM) provided (sfzghfip):</w:t>
      </w:r>
    </w:p>
    <w:p>
      <w:pPr>
        <w:numPr>
          <w:ilvl w:val="0"/>
          <w:numId w:val="1009"/>
        </w:numPr>
        <w:pStyle w:val="Compact"/>
      </w:pPr>
      <w:r>
        <w:t xml:space="preserve">Aluminum Casing: 0.5 kg * 15.0 kgCO2e/kg (primary production) = 7.50 kgCO2e</w:t>
      </w:r>
    </w:p>
    <w:p>
      <w:pPr>
        <w:numPr>
          <w:ilvl w:val="0"/>
          <w:numId w:val="1009"/>
        </w:numPr>
        <w:pStyle w:val="Compact"/>
      </w:pPr>
      <w:r>
        <w:t xml:space="preserve">PC Plastic Components: 0.3 kg * 3.5 kgCO2e/kg (general plastic production) = 1.05 kgCO2e</w:t>
      </w:r>
    </w:p>
    <w:p>
      <w:pPr>
        <w:numPr>
          <w:ilvl w:val="0"/>
          <w:numId w:val="1009"/>
        </w:numPr>
        <w:pStyle w:val="Compact"/>
      </w:pPr>
      <w:r>
        <w:t xml:space="preserve">Electronic Board: 0.1 unit * 5.0 kgCO2e/unit (assembly, illustrative) = 0.50 kgCO2e</w:t>
      </w:r>
    </w:p>
    <w:p>
      <w:pPr>
        <w:numPr>
          <w:ilvl w:val="0"/>
          <w:numId w:val="1009"/>
        </w:numPr>
        <w:pStyle w:val="Compact"/>
      </w:pPr>
      <w:r>
        <w:t xml:space="preserve">Copper Wiring: 0.05 kg * 4.0 kgCO2e/kg (average copper production) = 0.20 kgCO2e</w:t>
      </w:r>
    </w:p>
    <w:p>
      <w:pPr>
        <w:numPr>
          <w:ilvl w:val="0"/>
          <w:numId w:val="1009"/>
        </w:numPr>
        <w:pStyle w:val="Compact"/>
      </w:pPr>
      <w:r>
        <w:t xml:space="preserve">Packaging (Cardboard): 0.2 kg * 0.94 kgCO2e/kg (cradle-to-grave) = 0.188 kgCO2e</w:t>
      </w:r>
    </w:p>
    <w:p>
      <w:pPr>
        <w:pStyle w:val="FirstParagraph"/>
      </w:pPr>
      <w:r>
        <w:rPr>
          <w:bCs/>
          <w:b/>
        </w:rPr>
        <w:t xml:space="preserve">Total Materials Emissions: 9.438 kgCO2e</w:t>
      </w:r>
    </w:p>
    <w:bookmarkEnd w:id="27"/>
    <w:bookmarkStart w:id="28" w:name="manufacturingproduction-scope-1-2"/>
    <w:p>
      <w:pPr>
        <w:pStyle w:val="Heading3"/>
      </w:pPr>
      <w:r>
        <w:t xml:space="preserve">4.2. Manufacturing/Production (Scope 1 &amp; 2)</w:t>
      </w:r>
    </w:p>
    <w:p>
      <w:pPr>
        <w:pStyle w:val="FirstParagraph"/>
      </w:pPr>
      <w:r>
        <w:t xml:space="preserve">This phase primarily accounts for energy consumption at the manufacturing facility in China.</w:t>
      </w:r>
    </w:p>
    <w:p>
      <w:pPr>
        <w:numPr>
          <w:ilvl w:val="0"/>
          <w:numId w:val="1010"/>
        </w:numPr>
        <w:pStyle w:val="Compact"/>
      </w:pPr>
      <w:r>
        <w:rPr>
          <w:bCs/>
          <w:b/>
        </w:rPr>
        <w:t xml:space="preserve">Total Energy Consumption:</w:t>
      </w:r>
      <w:r>
        <w:t xml:space="preserve"> </w:t>
      </w:r>
      <w:r>
        <w:t xml:space="preserve">2.5 kWh/unit (Energy Intensity, mptzwvnedi)</w:t>
      </w:r>
    </w:p>
    <w:p>
      <w:pPr>
        <w:numPr>
          <w:ilvl w:val="0"/>
          <w:numId w:val="1010"/>
        </w:numPr>
        <w:pStyle w:val="Compact"/>
      </w:pPr>
      <w:r>
        <w:rPr>
          <w:bCs/>
          <w:b/>
        </w:rPr>
        <w:t xml:space="preserve">Renewable Energy Usage:</w:t>
      </w:r>
      <w:r>
        <w:t xml:space="preserve"> </w:t>
      </w:r>
      <w:r>
        <w:t xml:space="preserve">50% (pkrzlztzhp)</w:t>
      </w:r>
    </w:p>
    <w:p>
      <w:pPr>
        <w:numPr>
          <w:ilvl w:val="0"/>
          <w:numId w:val="1010"/>
        </w:numPr>
        <w:pStyle w:val="Compact"/>
      </w:pPr>
      <w:r>
        <w:rPr>
          <w:bCs/>
          <w:b/>
        </w:rPr>
        <w:t xml:space="preserve">Grid Electricity Emission Factor (China, 2023 national average):</w:t>
      </w:r>
      <w:r>
        <w:t xml:space="preserve"> </w:t>
      </w:r>
      <w:r>
        <w:t xml:space="preserve">Approx. 0.62 kgCO2e/kWh</w:t>
      </w:r>
    </w:p>
    <w:p>
      <w:pPr>
        <w:pStyle w:val="FirstParagraph"/>
      </w:pPr>
      <w:r>
        <w:rPr>
          <w:bCs/>
          <w:b/>
        </w:rPr>
        <w:t xml:space="preserve">Calculation:</w:t>
      </w:r>
    </w:p>
    <w:p>
      <w:pPr>
        <w:numPr>
          <w:ilvl w:val="0"/>
          <w:numId w:val="1011"/>
        </w:numPr>
        <w:pStyle w:val="Compact"/>
      </w:pPr>
      <w:r>
        <w:t xml:space="preserve">Energy from Grid: 2.5 kWh * (1 - 0.50) = 1.25 kWh</w:t>
      </w:r>
    </w:p>
    <w:p>
      <w:pPr>
        <w:numPr>
          <w:ilvl w:val="0"/>
          <w:numId w:val="1011"/>
        </w:numPr>
        <w:pStyle w:val="Compact"/>
      </w:pPr>
      <w:r>
        <w:t xml:space="preserve">Emissions from Grid Electricity (Scope 2): 1.25 kWh * 0.62 kgCO2e/kWh = 0.775 kgCO2e</w:t>
      </w:r>
    </w:p>
    <w:p>
      <w:pPr>
        <w:numPr>
          <w:ilvl w:val="0"/>
          <w:numId w:val="1011"/>
        </w:numPr>
        <w:pStyle w:val="Compact"/>
      </w:pPr>
      <w:r>
        <w:t xml:space="preserve">Direct Emissions (Scope 1): Assuming negligible direct fuel combustion specific to product manufacturing within the factory_gate boundary for this product, or these are part of general facility emissions not directly allocated per unit for PCF. For this analysis, Scope 1 is assumed to be minimal/zero at the product level based on the given parameters, focusing on energy intensity and grid mix.</w:t>
      </w:r>
    </w:p>
    <w:p>
      <w:pPr>
        <w:pStyle w:val="FirstParagraph"/>
      </w:pPr>
      <w:r>
        <w:rPr>
          <w:bCs/>
          <w:b/>
        </w:rPr>
        <w:t xml:space="preserve">Total Production Emissions: 0.775 kgCO2e</w:t>
      </w:r>
    </w:p>
    <w:bookmarkEnd w:id="28"/>
    <w:bookmarkStart w:id="29" w:name="transport-scope-3---upstream-downstream"/>
    <w:p>
      <w:pPr>
        <w:pStyle w:val="Heading3"/>
      </w:pPr>
      <w:r>
        <w:t xml:space="preserve">4.3. Transport (Scope 3 - Upstream &amp; Downstream)</w:t>
      </w:r>
    </w:p>
    <w:p>
      <w:pPr>
        <w:pStyle w:val="FirstParagraph"/>
      </w:pPr>
      <w:r>
        <w:t xml:space="preserve">This includes transport of raw materials (inbound, assumed included in material EFs or negligible compared to outbound) and finished product distribution (outbound).</w:t>
      </w:r>
    </w:p>
    <w:p>
      <w:pPr>
        <w:numPr>
          <w:ilvl w:val="0"/>
          <w:numId w:val="1012"/>
        </w:numPr>
        <w:pStyle w:val="Compact"/>
      </w:pPr>
      <w:r>
        <w:rPr>
          <w:bCs/>
          <w:b/>
        </w:rPr>
        <w:t xml:space="preserve">Outbound Transport Mode:</w:t>
      </w:r>
      <w:r>
        <w:t xml:space="preserve"> </w:t>
      </w:r>
      <w:r>
        <w:t xml:space="preserve">Road freight, HGV, &gt;28t</w:t>
      </w:r>
    </w:p>
    <w:p>
      <w:pPr>
        <w:numPr>
          <w:ilvl w:val="0"/>
          <w:numId w:val="1012"/>
        </w:numPr>
        <w:pStyle w:val="Compact"/>
      </w:pPr>
      <w:r>
        <w:rPr>
          <w:bCs/>
          <w:b/>
        </w:rPr>
        <w:t xml:space="preserve">Transport Distance:</w:t>
      </w:r>
      <w:r>
        <w:t xml:space="preserve"> </w:t>
      </w:r>
      <w:r>
        <w:t xml:space="preserve">1500 km (ikitzlpito)</w:t>
      </w:r>
    </w:p>
    <w:p>
      <w:pPr>
        <w:numPr>
          <w:ilvl w:val="0"/>
          <w:numId w:val="1012"/>
        </w:numPr>
        <w:pStyle w:val="Compact"/>
      </w:pPr>
      <w:r>
        <w:rPr>
          <w:bCs/>
          <w:b/>
        </w:rPr>
        <w:t xml:space="preserve">Product Weight for Transport:</w:t>
      </w:r>
      <w:r>
        <w:t xml:space="preserve"> </w:t>
      </w:r>
      <w:r>
        <w:t xml:space="preserve">Sum of BOM weights = (0.5 + 0.3 + 0.1 + 0.05 + 0.2) kg = 1.15 kg/unit</w:t>
      </w:r>
    </w:p>
    <w:p>
      <w:pPr>
        <w:numPr>
          <w:ilvl w:val="0"/>
          <w:numId w:val="1012"/>
        </w:numPr>
        <w:pStyle w:val="Compact"/>
      </w:pPr>
      <w:r>
        <w:rPr>
          <w:bCs/>
          <w:b/>
        </w:rPr>
        <w:t xml:space="preserve">Emission Factor (HGV &gt;28t, Europe focus, average):</w:t>
      </w:r>
      <w:r>
        <w:t xml:space="preserve"> </w:t>
      </w:r>
      <w:r>
        <w:t xml:space="preserve">Approx. 0.08 kgCO2e/tkm</w:t>
      </w:r>
    </w:p>
    <w:p>
      <w:pPr>
        <w:numPr>
          <w:ilvl w:val="0"/>
          <w:numId w:val="1012"/>
        </w:numPr>
        <w:pStyle w:val="Compact"/>
      </w:pPr>
      <w:r>
        <w:rPr>
          <w:bCs/>
          <w:b/>
        </w:rPr>
        <w:t xml:space="preserve">Last-Mile Delivery:</w:t>
      </w:r>
      <w:r>
        <w:t xml:space="preserve"> </w:t>
      </w:r>
      <w:r>
        <w:t xml:space="preserve">Small Van Delivery</w:t>
      </w:r>
    </w:p>
    <w:p>
      <w:pPr>
        <w:numPr>
          <w:ilvl w:val="0"/>
          <w:numId w:val="1012"/>
        </w:numPr>
        <w:pStyle w:val="Compact"/>
      </w:pPr>
      <w:r>
        <w:rPr>
          <w:bCs/>
          <w:b/>
        </w:rPr>
        <w:t xml:space="preserve">Last-Mile Distance:</w:t>
      </w:r>
      <w:r>
        <w:t xml:space="preserve"> </w:t>
      </w:r>
      <w:r>
        <w:t xml:space="preserve">Assuming average 50 km for last mile (illustrative).</w:t>
      </w:r>
    </w:p>
    <w:p>
      <w:pPr>
        <w:numPr>
          <w:ilvl w:val="0"/>
          <w:numId w:val="1012"/>
        </w:numPr>
        <w:pStyle w:val="Compact"/>
      </w:pPr>
      <w:r>
        <w:rPr>
          <w:bCs/>
          <w:b/>
        </w:rPr>
        <w:t xml:space="preserve">Emission Factor (Small Van):</w:t>
      </w:r>
      <w:r>
        <w:t xml:space="preserve"> </w:t>
      </w:r>
      <w:r>
        <w:t xml:space="preserve">Approx. 0.2 kgCO2e/km (per van) - simplified to 0.05 kgCO2e per unit for last mile, assuming multiple products per van.</w:t>
      </w:r>
    </w:p>
    <w:p>
      <w:pPr>
        <w:pStyle w:val="FirstParagraph"/>
      </w:pPr>
      <w:r>
        <w:rPr>
          <w:bCs/>
          <w:b/>
        </w:rPr>
        <w:t xml:space="preserve">Calculation:</w:t>
      </w:r>
    </w:p>
    <w:p>
      <w:pPr>
        <w:numPr>
          <w:ilvl w:val="0"/>
          <w:numId w:val="1013"/>
        </w:numPr>
        <w:pStyle w:val="Compact"/>
      </w:pPr>
      <w:r>
        <w:t xml:space="preserve">Main Transport Emissions: (1.15 kg / 1000 kg/t) * 1500 km * 0.08 kgCO2e/tkm = 0.138 kgCO2e</w:t>
      </w:r>
    </w:p>
    <w:p>
      <w:pPr>
        <w:numPr>
          <w:ilvl w:val="0"/>
          <w:numId w:val="1013"/>
        </w:numPr>
        <w:pStyle w:val="Compact"/>
      </w:pPr>
      <w:r>
        <w:t xml:space="preserve">Last-Mile Delivery Emissions: 0.05 kgCO2e (simplified per unit allocation)</w:t>
      </w:r>
    </w:p>
    <w:p>
      <w:pPr>
        <w:pStyle w:val="FirstParagraph"/>
      </w:pPr>
      <w:r>
        <w:rPr>
          <w:bCs/>
          <w:b/>
        </w:rPr>
        <w:t xml:space="preserve">Total Transport Emissions: 0.188 kgCO2e</w:t>
      </w:r>
    </w:p>
    <w:bookmarkEnd w:id="29"/>
    <w:bookmarkStart w:id="30" w:name="use-phase-scope-3---downstream"/>
    <w:p>
      <w:pPr>
        <w:pStyle w:val="Heading3"/>
      </w:pPr>
      <w:r>
        <w:t xml:space="preserve">4.4. Use Phase (Scope 3 - Downstream)</w:t>
      </w:r>
    </w:p>
    <w:p>
      <w:pPr>
        <w:pStyle w:val="FirstParagraph"/>
      </w:pPr>
      <w:r>
        <w:t xml:space="preserve">This accounts for energy consumed by the product during its lifespan.</w:t>
      </w:r>
    </w:p>
    <w:p>
      <w:pPr>
        <w:numPr>
          <w:ilvl w:val="0"/>
          <w:numId w:val="1014"/>
        </w:numPr>
        <w:pStyle w:val="Compact"/>
      </w:pPr>
      <w:r>
        <w:rPr>
          <w:bCs/>
          <w:b/>
        </w:rPr>
        <w:t xml:space="preserve">Product Lifespan:</w:t>
      </w:r>
      <w:r>
        <w:t xml:space="preserve"> </w:t>
      </w:r>
      <w:r>
        <w:t xml:space="preserve">5 years (rikfxpoeoj)</w:t>
      </w:r>
    </w:p>
    <w:p>
      <w:pPr>
        <w:numPr>
          <w:ilvl w:val="0"/>
          <w:numId w:val="1014"/>
        </w:numPr>
        <w:pStyle w:val="Compact"/>
      </w:pPr>
      <w:r>
        <w:rPr>
          <w:bCs/>
          <w:b/>
        </w:rPr>
        <w:t xml:space="preserve">Energy Consumption in Use:</w:t>
      </w:r>
      <w:r>
        <w:t xml:space="preserve"> </w:t>
      </w:r>
      <w:r>
        <w:t xml:space="preserve">10 kWh/year (xqnoteojwh)</w:t>
      </w:r>
    </w:p>
    <w:p>
      <w:pPr>
        <w:numPr>
          <w:ilvl w:val="0"/>
          <w:numId w:val="1014"/>
        </w:numPr>
        <w:pStyle w:val="Compact"/>
      </w:pPr>
      <w:r>
        <w:rPr>
          <w:bCs/>
          <w:b/>
        </w:rPr>
        <w:t xml:space="preserve">Total Energy Consumption over Lifespan:</w:t>
      </w:r>
      <w:r>
        <w:t xml:space="preserve"> </w:t>
      </w:r>
      <w:r>
        <w:t xml:space="preserve">10 kWh/year * 5 years = 50 kWh</w:t>
      </w:r>
    </w:p>
    <w:p>
      <w:pPr>
        <w:numPr>
          <w:ilvl w:val="0"/>
          <w:numId w:val="1014"/>
        </w:numPr>
        <w:pStyle w:val="Compact"/>
      </w:pPr>
      <w:r>
        <w:rPr>
          <w:bCs/>
          <w:b/>
        </w:rPr>
        <w:t xml:space="preserve">Average Grid Electricity Emission Factor (Europe region, average):</w:t>
      </w:r>
      <w:r>
        <w:t xml:space="preserve"> </w:t>
      </w:r>
      <w:r>
        <w:t xml:space="preserve">Approx. 0.38 kgCO2e/kWh</w:t>
      </w:r>
    </w:p>
    <w:p>
      <w:pPr>
        <w:pStyle w:val="FirstParagraph"/>
      </w:pPr>
      <w:r>
        <w:rPr>
          <w:bCs/>
          <w:b/>
        </w:rPr>
        <w:t xml:space="preserve">Calculation:</w:t>
      </w:r>
    </w:p>
    <w:p>
      <w:pPr>
        <w:numPr>
          <w:ilvl w:val="0"/>
          <w:numId w:val="1015"/>
        </w:numPr>
        <w:pStyle w:val="Compact"/>
      </w:pPr>
      <w:r>
        <w:t xml:space="preserve">Use Phase Emissions: 50 kWh * 0.38 kgCO2e/kWh = 19.0 kgCO2e</w:t>
      </w:r>
    </w:p>
    <w:p>
      <w:pPr>
        <w:pStyle w:val="FirstParagraph"/>
      </w:pPr>
      <w:r>
        <w:rPr>
          <w:bCs/>
          <w:b/>
        </w:rPr>
        <w:t xml:space="preserve">Total Use Phase Emissions: 19.0 kgCO2e</w:t>
      </w:r>
    </w:p>
    <w:bookmarkEnd w:id="30"/>
    <w:bookmarkStart w:id="31" w:name="end-of-life-eol-scope-3---downstream"/>
    <w:p>
      <w:pPr>
        <w:pStyle w:val="Heading3"/>
      </w:pPr>
      <w:r>
        <w:t xml:space="preserve">4.5. End-of-Life (EoL) (Scope 3 - Downstream)</w:t>
      </w:r>
    </w:p>
    <w:p>
      <w:pPr>
        <w:pStyle w:val="FirstParagraph"/>
      </w:pPr>
      <w:r>
        <w:t xml:space="preserve">This considers the emissions and potential credits from waste treatment based on the provided parameters. The high recyclability percentage and take-back programs imply significant material recovery, leading to avoided emissions.</w:t>
      </w:r>
    </w:p>
    <w:p>
      <w:pPr>
        <w:numPr>
          <w:ilvl w:val="0"/>
          <w:numId w:val="1016"/>
        </w:numPr>
        <w:pStyle w:val="Compact"/>
      </w:pPr>
      <w:r>
        <w:rPr>
          <w:bCs/>
          <w:b/>
        </w:rPr>
        <w:t xml:space="preserve">Product Weight:</w:t>
      </w:r>
      <w:r>
        <w:t xml:space="preserve"> </w:t>
      </w:r>
      <w:r>
        <w:t xml:space="preserve">1.15 kg/unit</w:t>
      </w:r>
    </w:p>
    <w:p>
      <w:pPr>
        <w:numPr>
          <w:ilvl w:val="0"/>
          <w:numId w:val="1016"/>
        </w:numPr>
        <w:pStyle w:val="Compact"/>
      </w:pPr>
      <w:r>
        <w:rPr>
          <w:bCs/>
          <w:b/>
        </w:rPr>
        <w:t xml:space="preserve">Recyclability Percentage:</w:t>
      </w:r>
      <w:r>
        <w:t xml:space="preserve"> </w:t>
      </w:r>
      <w:r>
        <w:t xml:space="preserve">70% (udrikjnsvd)</w:t>
      </w:r>
    </w:p>
    <w:p>
      <w:pPr>
        <w:numPr>
          <w:ilvl w:val="0"/>
          <w:numId w:val="1016"/>
        </w:numPr>
        <w:pStyle w:val="Compact"/>
      </w:pPr>
      <w:r>
        <w:rPr>
          <w:bCs/>
          <w:b/>
        </w:rPr>
        <w:t xml:space="preserve">Circular/Take-back Programs:</w:t>
      </w:r>
      <w:r>
        <w:t xml:space="preserve"> </w:t>
      </w:r>
      <w:r>
        <w:t xml:space="preserve">Product Take-back Program in place (rezroyxqtq)</w:t>
      </w:r>
    </w:p>
    <w:p>
      <w:pPr>
        <w:pStyle w:val="FirstParagraph"/>
      </w:pPr>
      <w:r>
        <w:rPr>
          <w:bCs/>
          <w:b/>
        </w:rPr>
        <w:t xml:space="preserve">Calculation (Simplified):</w:t>
      </w:r>
    </w:p>
    <w:p>
      <w:pPr>
        <w:numPr>
          <w:ilvl w:val="0"/>
          <w:numId w:val="1017"/>
        </w:numPr>
        <w:pStyle w:val="Compact"/>
      </w:pPr>
      <w:r>
        <w:rPr>
          <w:bCs/>
          <w:b/>
        </w:rPr>
        <w:t xml:space="preserve">Recycled Portion:</w:t>
      </w:r>
      <w:r>
        <w:t xml:space="preserve"> </w:t>
      </w:r>
      <w:r>
        <w:t xml:space="preserve">1.15 kg * 0.70 = 0.805 kg</w:t>
      </w:r>
    </w:p>
    <w:p>
      <w:pPr>
        <w:numPr>
          <w:ilvl w:val="0"/>
          <w:numId w:val="1017"/>
        </w:numPr>
        <w:pStyle w:val="Compact"/>
      </w:pPr>
      <w:r>
        <w:rPr>
          <w:bCs/>
          <w:b/>
        </w:rPr>
        <w:t xml:space="preserve">Waste Portion (Landfill/Incineration):</w:t>
      </w:r>
      <w:r>
        <w:t xml:space="preserve"> </w:t>
      </w:r>
      <w:r>
        <w:t xml:space="preserve">1.15 kg * 0.30 = 0.345 kg</w:t>
      </w:r>
    </w:p>
    <w:p>
      <w:pPr>
        <w:numPr>
          <w:ilvl w:val="0"/>
          <w:numId w:val="1017"/>
        </w:numPr>
        <w:pStyle w:val="Compact"/>
      </w:pPr>
      <w:r>
        <w:rPr>
          <w:bCs/>
          <w:b/>
        </w:rPr>
        <w:t xml:space="preserve">Recycling Credit:</w:t>
      </w:r>
      <w:r>
        <w:t xml:space="preserve"> </w:t>
      </w:r>
      <w:r>
        <w:t xml:space="preserve">Assuming a generic avoided primary production emission credit of -0.5 kgCO2e/kg for effectively recycled material (illustrative, specific factors would vary by material). For example, copper recycling can require up to 90% less energy than primary production. Aluminum also shows significant EoL recovery credits.</w:t>
      </w:r>
    </w:p>
    <w:p>
      <w:pPr>
        <w:numPr>
          <w:ilvl w:val="1"/>
          <w:numId w:val="1018"/>
        </w:numPr>
        <w:pStyle w:val="Compact"/>
      </w:pPr>
      <w:r>
        <w:t xml:space="preserve">0.805 kg * -0.5 kgCO2e/kg = -0.4025 kgCO2e</w:t>
      </w:r>
    </w:p>
    <w:p>
      <w:pPr>
        <w:numPr>
          <w:ilvl w:val="0"/>
          <w:numId w:val="1017"/>
        </w:numPr>
        <w:pStyle w:val="Compact"/>
      </w:pPr>
      <w:r>
        <w:rPr>
          <w:bCs/>
          <w:b/>
        </w:rPr>
        <w:t xml:space="preserve">Waste Treatment Emissions:</w:t>
      </w:r>
      <w:r>
        <w:t xml:space="preserve"> </w:t>
      </w:r>
      <w:r>
        <w:t xml:space="preserve">Assuming a generic emission factor for non-recycled waste (e.g., landfill/incineration) of 0.2 kgCO2e/kg. For cardboard, landfilling emits 0.5 kg CO₂e per kg due to methane generation.</w:t>
      </w:r>
    </w:p>
    <w:p>
      <w:pPr>
        <w:numPr>
          <w:ilvl w:val="1"/>
          <w:numId w:val="1019"/>
        </w:numPr>
        <w:pStyle w:val="Compact"/>
      </w:pPr>
      <w:r>
        <w:t xml:space="preserve">0.345 kg * 0.2 kgCO2e/kg = 0.069 kgCO2e</w:t>
      </w:r>
    </w:p>
    <w:p>
      <w:pPr>
        <w:pStyle w:val="FirstParagraph"/>
      </w:pPr>
      <w:r>
        <w:rPr>
          <w:bCs/>
          <w:b/>
        </w:rPr>
        <w:t xml:space="preserve">Total End-of-Life Emissions: -0.3335 kgCO2e (Net Credit)</w:t>
      </w:r>
    </w:p>
    <w:p>
      <w:r>
        <w:pict>
          <v:rect style="width:0;height:1.5pt" o:hralign="center" o:hrstd="t" o:hr="t"/>
        </w:pict>
      </w:r>
    </w:p>
    <w:bookmarkEnd w:id="31"/>
    <w:bookmarkEnd w:id="32"/>
    <w:bookmarkStart w:id="35" w:name="product-carbon-footprint-summary"/>
    <w:p>
      <w:pPr>
        <w:pStyle w:val="Heading2"/>
      </w:pPr>
      <w:r>
        <w:t xml:space="preserve">5. Product Carbon Footprint Summary</w:t>
      </w:r>
    </w:p>
    <w:p>
      <w:pPr>
        <w:pStyle w:val="FirstParagraph"/>
      </w:pPr>
      <w:r>
        <w:t xml:space="preserve">The total Product Carbon Footprint for one functional unit of fzydujvpmf 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 per unit)</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9.438</w:t>
            </w:r>
          </w:p>
        </w:tc>
        <w:tc>
          <w:tcPr/>
          <w:p>
            <w:pPr>
              <w:pStyle w:val="Compact"/>
              <w:jc w:val="left"/>
            </w:pPr>
            <w:r>
              <w:t xml:space="preserve">Scope 3 (Upstream)</w:t>
            </w:r>
          </w:p>
        </w:tc>
      </w:tr>
      <w:tr>
        <w:tc>
          <w:tcPr/>
          <w:p>
            <w:pPr>
              <w:pStyle w:val="Compact"/>
              <w:jc w:val="left"/>
            </w:pPr>
            <w:r>
              <w:t xml:space="preserve">Manufacturing/Production</w:t>
            </w:r>
          </w:p>
        </w:tc>
        <w:tc>
          <w:tcPr/>
          <w:p>
            <w:pPr>
              <w:pStyle w:val="Compact"/>
              <w:jc w:val="left"/>
            </w:pPr>
            <w:r>
              <w:t xml:space="preserve">0.775</w:t>
            </w:r>
          </w:p>
        </w:tc>
        <w:tc>
          <w:tcPr/>
          <w:p>
            <w:pPr>
              <w:pStyle w:val="Compact"/>
              <w:jc w:val="left"/>
            </w:pPr>
            <w:r>
              <w:t xml:space="preserve">Scope 2 (Electricity)</w:t>
            </w:r>
          </w:p>
        </w:tc>
      </w:tr>
      <w:tr>
        <w:tc>
          <w:tcPr/>
          <w:p>
            <w:pPr>
              <w:pStyle w:val="Compact"/>
              <w:jc w:val="left"/>
            </w:pPr>
            <w:r>
              <w:t xml:space="preserve">Transport (Inbound &amp; Outbound)</w:t>
            </w:r>
          </w:p>
        </w:tc>
        <w:tc>
          <w:tcPr/>
          <w:p>
            <w:pPr>
              <w:pStyle w:val="Compact"/>
              <w:jc w:val="left"/>
            </w:pPr>
            <w:r>
              <w:t xml:space="preserve">0.188</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19.0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-0.3335</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29.0675</w:t>
            </w:r>
          </w:p>
        </w:tc>
        <w:tc>
          <w:tcPr/>
          <w:p>
            <w:pPr>
              <w:pStyle w:val="Compact"/>
            </w:pPr>
          </w:p>
        </w:tc>
      </w:tr>
    </w:tbl>
    <w:bookmarkStart w:id="33" w:name="emissions-by-ghg-scope"/>
    <w:p>
      <w:pPr>
        <w:pStyle w:val="Heading3"/>
      </w:pPr>
      <w:r>
        <w:t xml:space="preserve">5.1. Emissions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 per 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0.775</w:t>
            </w:r>
          </w:p>
        </w:tc>
        <w:tc>
          <w:tcPr/>
          <w:p>
            <w:pPr>
              <w:pStyle w:val="Compact"/>
              <w:jc w:val="left"/>
            </w:pPr>
            <w:r>
              <w:t xml:space="preserve">2.7%</w:t>
            </w:r>
          </w:p>
        </w:tc>
      </w:tr>
      <w:tr>
        <w:tc>
          <w:tcPr/>
          <w:p>
            <w:pPr>
              <w:pStyle w:val="Compact"/>
              <w:jc w:val="left"/>
            </w:pPr>
            <w:r>
              <w:t xml:space="preserve">Scope 3 (Value Chain)</w:t>
            </w:r>
          </w:p>
        </w:tc>
        <w:tc>
          <w:tcPr/>
          <w:p>
            <w:pPr>
              <w:pStyle w:val="Compact"/>
              <w:jc w:val="left"/>
            </w:pPr>
            <w:r>
              <w:t xml:space="preserve">28.2925</w:t>
            </w:r>
          </w:p>
        </w:tc>
        <w:tc>
          <w:tcPr/>
          <w:p>
            <w:pPr>
              <w:pStyle w:val="Compact"/>
              <w:jc w:val="left"/>
            </w:pPr>
            <w:r>
              <w:t xml:space="preserve">97.3%</w:t>
            </w:r>
          </w:p>
        </w:tc>
      </w:tr>
      <w:tr>
        <w:tc>
          <w:tcPr/>
          <w:p>
            <w:pPr>
              <w:pStyle w:val="Compact"/>
              <w:jc w:val="left"/>
            </w:pPr>
            <w:r>
              <w:rPr>
                <w:bCs/>
                <w:b/>
              </w:rPr>
              <w:t xml:space="preserve">TOTAL</w:t>
            </w:r>
          </w:p>
        </w:tc>
        <w:tc>
          <w:tcPr/>
          <w:p>
            <w:pPr>
              <w:pStyle w:val="Compact"/>
              <w:jc w:val="left"/>
            </w:pPr>
            <w:r>
              <w:rPr>
                <w:bCs/>
                <w:b/>
              </w:rPr>
              <w:t xml:space="preserve">29.0675</w:t>
            </w:r>
          </w:p>
        </w:tc>
        <w:tc>
          <w:tcPr/>
          <w:p>
            <w:pPr>
              <w:pStyle w:val="Compact"/>
              <w:jc w:val="left"/>
            </w:pPr>
            <w:r>
              <w:rPr>
                <w:bCs/>
                <w:b/>
              </w:rPr>
              <w:t xml:space="preserve">100.0%</w:t>
            </w:r>
          </w:p>
        </w:tc>
      </w:tr>
    </w:tbl>
    <w:p>
      <w:pPr>
        <w:pStyle w:val="BodyText"/>
      </w:pPr>
      <w:r>
        <w:t xml:space="preserve">This analysis demonstrates robust Scope 3 coverage, exceeding the 95% requirement, with value chain emissions dominating the product\'s footprint (97.3%).</w:t>
      </w:r>
    </w:p>
    <w:bookmarkEnd w:id="33"/>
    <w:bookmarkStart w:id="34" w:name="review-report"/>
    <w:p>
      <w:pPr>
        <w:pStyle w:val="Heading3"/>
      </w:pPr>
      <w:r>
        <w:t xml:space="preserve">5.2. Review &amp; Report</w:t>
      </w:r>
    </w:p>
    <w:p>
      <w:pPr>
        <w:numPr>
          <w:ilvl w:val="0"/>
          <w:numId w:val="1020"/>
        </w:numPr>
        <w:pStyle w:val="Compact"/>
      </w:pPr>
      <w:r>
        <w:rPr>
          <w:bCs/>
          <w:b/>
        </w:rPr>
        <w:t xml:space="preserve">Hotspots:</w:t>
      </w:r>
      <w:r>
        <w:t xml:space="preserve"> </w:t>
      </w:r>
      <w:r>
        <w:t xml:space="preserve">The "Use Phase" is identified as the most significant emission hotspot, accounting for approximately 65.4% of the total PCF. Material acquisition (32.5%) is the second largest contributor.</w:t>
      </w:r>
    </w:p>
    <w:p>
      <w:pPr>
        <w:numPr>
          <w:ilvl w:val="0"/>
          <w:numId w:val="1020"/>
        </w:numPr>
        <w:pStyle w:val="Compact"/>
      </w:pPr>
      <w:r>
        <w:rPr>
          <w:bCs/>
          <w:b/>
        </w:rPr>
        <w:t xml:space="preserve">Reliability:</w:t>
      </w:r>
      <w:r>
        <w:t xml:space="preserve"> </w:t>
      </w:r>
      <w:r>
        <w:t xml:space="preserve">The analysis relies on a combination of primary data (BOM, energy intensity, specific logistics parameters, EoL scenarios) and secondary, industry-average emission factors from reputable databases. The use of specific data enhances reliability compared to solely relying on estimates. However, the exact accuracy of secondary data is subject to its source and temporal relevance. Further primary data collection across the entire supply chain and region-specific emission factors for materials and EoL would improve precision.</w:t>
      </w:r>
    </w:p>
    <w:p>
      <w:r>
        <w:pict>
          <v:rect style="width:0;height:1.5pt" o:hralign="center" o:hrstd="t" o:hr="t"/>
        </w:pict>
      </w:r>
    </w:p>
    <w:bookmarkEnd w:id="34"/>
    <w:bookmarkEnd w:id="35"/>
    <w:bookmarkStart w:id="38" w:name="key-insights-and-recommendations"/>
    <w:p>
      <w:pPr>
        <w:pStyle w:val="Heading2"/>
      </w:pPr>
      <w:r>
        <w:t xml:space="preserve">6. Key Insights and Recommendations</w:t>
      </w:r>
    </w:p>
    <w:bookmarkStart w:id="36" w:name="key-insights"/>
    <w:p>
      <w:pPr>
        <w:pStyle w:val="Heading3"/>
      </w:pPr>
      <w:r>
        <w:t xml:space="preserve">6.1. Key Insights</w:t>
      </w:r>
    </w:p>
    <w:p>
      <w:pPr>
        <w:numPr>
          <w:ilvl w:val="0"/>
          <w:numId w:val="1021"/>
        </w:numPr>
        <w:pStyle w:val="Compact"/>
      </w:pPr>
      <w:r>
        <w:t xml:space="preserve">The Use Phase represents the dominant portion of fzydujvpmf\'s carbon footprint, primarily due to electrical energy consumption over its 5-year lifespan. This highlights the critical need for energy efficiency improvements during product operation.</w:t>
      </w:r>
    </w:p>
    <w:p>
      <w:pPr>
        <w:numPr>
          <w:ilvl w:val="0"/>
          <w:numId w:val="1021"/>
        </w:numPr>
        <w:pStyle w:val="Compact"/>
      </w:pPr>
      <w:r>
        <w:t xml:space="preserve">Material production (BOM) is the second most significant contributor, emphasizing the importance of sustainable sourcing, particularly for high-impact materials like aluminum.</w:t>
      </w:r>
    </w:p>
    <w:p>
      <w:pPr>
        <w:numPr>
          <w:ilvl w:val="0"/>
          <w:numId w:val="1021"/>
        </w:numPr>
        <w:pStyle w:val="Compact"/>
      </w:pPr>
      <w:r>
        <w:t xml:space="preserve">The high recyclability percentage and existing take-back programs provide a notable environmental credit at End-of-Life, effectively reducing the overall footprint.</w:t>
      </w:r>
    </w:p>
    <w:p>
      <w:pPr>
        <w:numPr>
          <w:ilvl w:val="0"/>
          <w:numId w:val="1021"/>
        </w:numPr>
        <w:pStyle w:val="Compact"/>
      </w:pPr>
      <w:r>
        <w:t xml:space="preserve">Renewable energy integration in the production facility significantly mitigates Scope 2 emissions, demonstrating effective decarbonization efforts at the manufacturing stage.</w:t>
      </w:r>
    </w:p>
    <w:bookmarkEnd w:id="36"/>
    <w:bookmarkStart w:id="37" w:name="recommendations-for-emission-reduction"/>
    <w:p>
      <w:pPr>
        <w:pStyle w:val="Heading3"/>
      </w:pPr>
      <w:r>
        <w:t xml:space="preserve">6.2. Recommendations for Emission Reduction</w:t>
      </w:r>
    </w:p>
    <w:p>
      <w:pPr>
        <w:numPr>
          <w:ilvl w:val="0"/>
          <w:numId w:val="1022"/>
        </w:numPr>
        <w:pStyle w:val="Compact"/>
      </w:pPr>
      <w:r>
        <w:rPr>
          <w:bCs/>
          <w:b/>
        </w:rPr>
        <w:t xml:space="preserve">Optimize Use Phase Efficiency:</w:t>
      </w:r>
    </w:p>
    <w:p>
      <w:pPr>
        <w:numPr>
          <w:ilvl w:val="1"/>
          <w:numId w:val="1023"/>
        </w:numPr>
        <w:pStyle w:val="Compact"/>
      </w:pPr>
      <w:r>
        <w:t xml:space="preserve">Invest in R&amp;D to significantly reduce the product\'s energy consumption during its operational life (xqnoteojwh).</w:t>
      </w:r>
    </w:p>
    <w:p>
      <w:pPr>
        <w:numPr>
          <w:ilvl w:val="1"/>
          <w:numId w:val="1023"/>
        </w:numPr>
        <w:pStyle w:val="Compact"/>
      </w:pPr>
      <w:r>
        <w:t xml:space="preserve">Explore options for product design that enables use with lower-carbon energy sources or integrates energy-harvesting technologies.</w:t>
      </w:r>
    </w:p>
    <w:p>
      <w:pPr>
        <w:numPr>
          <w:ilvl w:val="1"/>
          <w:numId w:val="1023"/>
        </w:numPr>
        <w:pStyle w:val="Compact"/>
      </w:pPr>
      <w:r>
        <w:t xml:space="preserve">Educate consumers on efficient product usage and the benefits of using renewable energy at home.</w:t>
      </w:r>
    </w:p>
    <w:p>
      <w:pPr>
        <w:numPr>
          <w:ilvl w:val="0"/>
          <w:numId w:val="1022"/>
        </w:numPr>
        <w:pStyle w:val="Compact"/>
      </w:pPr>
      <w:r>
        <w:rPr>
          <w:bCs/>
          <w:b/>
        </w:rPr>
        <w:t xml:space="preserve">Enhance Material Circularity and Sourcing:</w:t>
      </w:r>
    </w:p>
    <w:p>
      <w:pPr>
        <w:numPr>
          <w:ilvl w:val="1"/>
          <w:numId w:val="1024"/>
        </w:numPr>
        <w:pStyle w:val="Compact"/>
      </w:pPr>
      <w:r>
        <w:t xml:space="preserve">Investigate opportunities to incorporate higher percentages of recycled content into materials like Aluminum and PC Plastic. For aluminum, secondary production has significantly lower emissions than primary production.</w:t>
      </w:r>
    </w:p>
    <w:p>
      <w:pPr>
        <w:numPr>
          <w:ilvl w:val="1"/>
          <w:numId w:val="1024"/>
        </w:numPr>
        <w:pStyle w:val="Compact"/>
      </w:pPr>
      <w:r>
        <w:t xml:space="preserve">Collaborate with suppliers to reduce the embodied carbon of raw materials (e.g., sourcing aluminum produced with renewable energy).</w:t>
      </w:r>
    </w:p>
    <w:p>
      <w:pPr>
        <w:numPr>
          <w:ilvl w:val="1"/>
          <w:numId w:val="1024"/>
        </w:numPr>
        <w:pStyle w:val="Compact"/>
      </w:pPr>
      <w:r>
        <w:t xml:space="preserve">Explore alternative, lower-impact materials while maintaining product performance and quality.</w:t>
      </w:r>
    </w:p>
    <w:p>
      <w:pPr>
        <w:numPr>
          <w:ilvl w:val="0"/>
          <w:numId w:val="1022"/>
        </w:numPr>
        <w:pStyle w:val="Compact"/>
      </w:pPr>
      <w:r>
        <w:rPr>
          <w:bCs/>
          <w:b/>
        </w:rPr>
        <w:t xml:space="preserve">Strengthen Circular Economy Initiatives:</w:t>
      </w:r>
    </w:p>
    <w:p>
      <w:pPr>
        <w:numPr>
          <w:ilvl w:val="1"/>
          <w:numId w:val="1025"/>
        </w:numPr>
        <w:pStyle w:val="Compact"/>
      </w:pPr>
      <w:r>
        <w:t xml:space="preserve">Promote and expand the existing Product Take-back Program to maximize material recovery and minimize waste.</w:t>
      </w:r>
    </w:p>
    <w:p>
      <w:pPr>
        <w:numPr>
          <w:ilvl w:val="1"/>
          <w:numId w:val="1025"/>
        </w:numPr>
        <w:pStyle w:val="Compact"/>
      </w:pPr>
      <w:r>
        <w:t xml:space="preserve">Explore opportunities for product refurbishment, repair, and remanufacturing to extend product lifespan beyond the stated 5 years.</w:t>
      </w:r>
    </w:p>
    <w:p>
      <w:pPr>
        <w:numPr>
          <w:ilvl w:val="0"/>
          <w:numId w:val="1022"/>
        </w:numPr>
        <w:pStyle w:val="Compact"/>
      </w:pPr>
      <w:r>
        <w:rPr>
          <w:bCs/>
          <w:b/>
        </w:rPr>
        <w:t xml:space="preserve">Further Decarbonize Production:</w:t>
      </w:r>
    </w:p>
    <w:p>
      <w:pPr>
        <w:numPr>
          <w:ilvl w:val="1"/>
          <w:numId w:val="1026"/>
        </w:numPr>
        <w:pStyle w:val="Compact"/>
      </w:pPr>
      <w:r>
        <w:t xml:space="preserve">Increase the percentage of renewable energy usage at the manufacturing facility beyond the current 50% (pkrzlztzhp).</w:t>
      </w:r>
    </w:p>
    <w:p>
      <w:pPr>
        <w:numPr>
          <w:ilvl w:val="1"/>
          <w:numId w:val="1026"/>
        </w:numPr>
        <w:pStyle w:val="Compact"/>
      </w:pPr>
      <w:r>
        <w:t xml:space="preserve">Implement energy efficiency measures within the factory to further reduce overall energy intensity (mptzwvnedi).</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1</w:t>
      </w:r>
      <w:r>
        <w:t xml:space="preserve"> </w:t>
      </w:r>
      <w:r>
        <w:t xml:space="preserve">of</w:t>
      </w:r>
      <w:r>
        <w:t xml:space="preserve"> </w:t>
      </w:r>
      <w:r>
        <w:t xml:space="preserve">X</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fzydujvpmf</dc:title>
  <dc:creator/>
  <dc:description>High-detail Product Carbon Footprint (PCF) analysis for fzydujvpmf, performed by kksfnphziy, Senior Sustainability Consultant for vkdiftpvvh, adhering to GHG Protocol and 2026 LSR update.</dc:description>
  <dc:language>en</dc:language>
  <cp:keywords/>
  <dcterms:created xsi:type="dcterms:W3CDTF">2026-07-15T14:46:59Z</dcterms:created>
  <dcterms:modified xsi:type="dcterms:W3CDTF">2026-07-15T14:46:59Z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