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fzjzpiwqkk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fzjzpiwqkk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vzwtdfmrwe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ijdlsmyfzl</w:t>
      </w:r>
    </w:p>
    <w:p>
      <w:pPr>
        <w:pStyle w:val="BodyText"/>
      </w:pPr>
      <w:r>
        <w:t xml:space="preserve">Generated Date: May 28, 2026</w:t>
      </w:r>
    </w:p>
    <w:p>
      <w:pPr>
        <w:pStyle w:val="BodyText"/>
      </w:pPr>
      <w:r>
        <w:t xml:space="preserve">Disclaimer: This report is generated based on available data and industry standards. While every effort has been made to ensure accuracy,</w:t>
      </w:r>
      <w:r>
        <w:t xml:space="preserve"> </w:t>
      </w:r>
      <w:r>
        <w:t xml:space="preserve">the calculations rely on the completeness and correctness of the provided parameters and selected emission factors.</w:t>
      </w:r>
      <w:r>
        <w:t xml:space="preserve"> </w:t>
      </w:r>
      <w:r>
        <w:t xml:space="preserve">It provides a high-level overview and should be used for informational purposes and strategic planning.</w:t>
      </w:r>
    </w:p>
    <w:bookmarkEnd w:id="20"/>
    <w:p>
      <w:pPr>
        <w:pStyle w:val="BodyText"/>
      </w:pPr>
      <w:r>
        <w:t xml:space="preserve">Product Carbon Footprint Report - fzjzpiwqkk | Generated: May 28, 2026</w:t>
      </w:r>
    </w:p>
    <w:bookmarkStart w:id="49" w:name="executive-summary"/>
    <w:p>
      <w:pPr>
        <w:pStyle w:val="Heading1"/>
      </w:pPr>
      <w:r>
        <w:t xml:space="preserve">Executive Summary</w:t>
      </w:r>
    </w:p>
    <w:p>
      <w:pPr>
        <w:pStyle w:val="FirstParagraph"/>
      </w:pPr>
      <w:r>
        <w:t xml:space="preserve">This Product Carbon Footprint (PCF) analysis provides a high-detail assessment of the greenhouse gas (GHG) emissions associated with the lifecycle</w:t>
      </w:r>
      <w:r>
        <w:t xml:space="preserve"> </w:t>
      </w:r>
      <w:r>
        <w:t xml:space="preserve">of the product</w:t>
      </w:r>
      <w:r>
        <w:t xml:space="preserve"> </w:t>
      </w:r>
      <w:r>
        <w:rPr>
          <w:bCs/>
          <w:b/>
        </w:rPr>
        <w:t xml:space="preserve">fzjzpiwqkk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vzwtdfmrwe</w:t>
      </w:r>
      <w:r>
        <w:t xml:space="preserve">. Conducted by</w:t>
      </w:r>
      <w:r>
        <w:t xml:space="preserve"> </w:t>
      </w:r>
      <w:r>
        <w:rPr>
          <w:bCs/>
          <w:b/>
        </w:rPr>
        <w:t xml:space="preserve">ijdlsmyfzl</w:t>
      </w:r>
      <w:r>
        <w:t xml:space="preserve">, Senior Sustainability Consultant,</w:t>
      </w:r>
      <w:r>
        <w:t xml:space="preserve"> </w:t>
      </w:r>
      <w:r>
        <w:t xml:space="preserve">this report adheres strictly to the GHG Protocol standards, including the 2026 Land Sector and Removals (LSR) Standard update.</w:t>
      </w:r>
      <w:r>
        <w:t xml:space="preserve"> </w:t>
      </w:r>
      <w:r>
        <w:t xml:space="preserve">The analysis covers the full lifecycle from raw material acquisition (cradle) to the factory gate, and further incorporates downstream</w:t>
      </w:r>
      <w:r>
        <w:t xml:space="preserve"> </w:t>
      </w:r>
      <w:r>
        <w:t xml:space="preserve">transportation, use phase, and end-of-life scenarios. Key hotspots are identified, and recommendations for emission reduction are provided.</w:t>
      </w:r>
      <w:r>
        <w:t xml:space="preserve"> </w:t>
      </w:r>
      <w:r>
        <w:t xml:space="preserve">A robust Scope 3 reporting coverage of at least 95% is targeted to ensure comprehensive value chain accountability.</w:t>
      </w:r>
    </w:p>
    <w:p>
      <w:r>
        <w:pict>
          <v:rect style="width:0;height:1.5pt" o:hralign="center" o:hrstd="t" o:hr="t"/>
        </w:pict>
      </w:r>
    </w:p>
    <w:bookmarkStart w:id="21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In response to increasing global climate concerns and stakeholder demands for transparency,</w:t>
      </w:r>
      <w:r>
        <w:t xml:space="preserve"> </w:t>
      </w:r>
      <w:r>
        <w:rPr>
          <w:bCs/>
          <w:b/>
        </w:rPr>
        <w:t xml:space="preserve">vzwtdfmrwe</w:t>
      </w:r>
      <w:r>
        <w:t xml:space="preserve"> </w:t>
      </w:r>
      <w:r>
        <w:t xml:space="preserve">has commissioned</w:t>
      </w:r>
      <w:r>
        <w:t xml:space="preserve"> </w:t>
      </w:r>
      <w:r>
        <w:t xml:space="preserve">this detailed Product Carbon Footprint (PCF) analysis for its product,</w:t>
      </w:r>
      <w:r>
        <w:t xml:space="preserve"> </w:t>
      </w:r>
      <w:r>
        <w:rPr>
          <w:bCs/>
          <w:b/>
        </w:rPr>
        <w:t xml:space="preserve">fzjzpiwqkk</w:t>
      </w:r>
      <w:r>
        <w:t xml:space="preserve">. The objective is to quantify the</w:t>
      </w:r>
      <w:r>
        <w:t xml:space="preserve"> </w:t>
      </w:r>
      <w:r>
        <w:t xml:space="preserve">greenhouse gas (GHG) emissions across the product\'s entire lifecycle, identify major emission sources (hotspots), and provide a</w:t>
      </w:r>
      <w:r>
        <w:t xml:space="preserve"> </w:t>
      </w:r>
      <w:r>
        <w:t xml:space="preserve">foundation for targeted emission reduction strategies. This report is prepared by</w:t>
      </w:r>
      <w:r>
        <w:t xml:space="preserve"> </w:t>
      </w:r>
      <w:r>
        <w:rPr>
          <w:bCs/>
          <w:b/>
        </w:rPr>
        <w:t xml:space="preserve">ijdlsmyfzl</w:t>
      </w:r>
      <w:r>
        <w:t xml:space="preserve">, a Senior Sustainability</w:t>
      </w:r>
      <w:r>
        <w:t xml:space="preserve"> </w:t>
      </w:r>
      <w:r>
        <w:t xml:space="preserve">Consultant specializing in GHG Protocol.</w:t>
      </w:r>
    </w:p>
    <w:p>
      <w:r>
        <w:pict>
          <v:rect style="width:0;height:1.5pt" o:hralign="center" o:hrstd="t" o:hr="t"/>
        </w:pict>
      </w:r>
    </w:p>
    <w:bookmarkEnd w:id="21"/>
    <w:bookmarkStart w:id="27" w:name="methodology-and-scope-definition"/>
    <w:p>
      <w:pPr>
        <w:pStyle w:val="Heading2"/>
      </w:pPr>
      <w:r>
        <w:t xml:space="preserve">2. Methodology and Scope Definition</w:t>
      </w:r>
    </w:p>
    <w:bookmarkStart w:id="22" w:name="accounting-standard"/>
    <w:p>
      <w:pPr>
        <w:pStyle w:val="Heading3"/>
      </w:pPr>
      <w:r>
        <w:t xml:space="preserve">2.1. Accounting Standard</w:t>
      </w:r>
    </w:p>
    <w:p>
      <w:pPr>
        <w:pStyle w:val="FirstParagraph"/>
      </w:pPr>
      <w:r>
        <w:t xml:space="preserve">This PCF analysis is conducted in strict accordance with the</w:t>
      </w:r>
      <w:r>
        <w:t xml:space="preserve"> </w:t>
      </w:r>
      <w:r>
        <w:rPr>
          <w:bCs/>
          <w:b/>
        </w:rPr>
        <w:t xml:space="preserve">GHG Protocol Product Standard</w:t>
      </w:r>
      <w:r>
        <w:t xml:space="preserve"> </w:t>
      </w:r>
      <w:r>
        <w:t xml:space="preserve">(A Corporate Accounting and</w:t>
      </w:r>
      <w:r>
        <w:t xml:space="preserve"> </w:t>
      </w:r>
      <w:r>
        <w:t xml:space="preserve">Reporting Standard, Revised Edition). Emissions are categorized into Scope 1 (direct emissions from owned or controlled sources),</w:t>
      </w:r>
      <w:r>
        <w:t xml:space="preserve"> </w:t>
      </w:r>
      <w:r>
        <w:t xml:space="preserve">Scope 2 (indirect emissions from the generation of purchased energy), and Scope 3 (all other indirect emissions that occur in the value chain</w:t>
      </w:r>
      <w:r>
        <w:t xml:space="preserve"> </w:t>
      </w:r>
      <w:r>
        <w:t xml:space="preserve">of the reporting company). The report also applies the principles of the</w:t>
      </w:r>
      <w:r>
        <w:t xml:space="preserve"> </w:t>
      </w:r>
      <w:r>
        <w:rPr>
          <w:bCs/>
          <w:b/>
        </w:rPr>
        <w:t xml:space="preserve">2026 Land Sector and Removals (LSR) Standard</w:t>
      </w:r>
      <w:r>
        <w:t xml:space="preserve"> </w:t>
      </w:r>
      <w:r>
        <w:t xml:space="preserve">for</w:t>
      </w:r>
      <w:r>
        <w:t xml:space="preserve"> </w:t>
      </w:r>
      <w:r>
        <w:t xml:space="preserve">land use and carbon removals, ensuring alignment with the latest guidance. A comprehensive Scope 3 coverage of at least 95% is</w:t>
      </w:r>
      <w:r>
        <w:t xml:space="preserve"> </w:t>
      </w:r>
      <w:r>
        <w:t xml:space="preserve">ensured to meet 2026 reporting requirements.</w:t>
      </w:r>
    </w:p>
    <w:bookmarkEnd w:id="22"/>
    <w:bookmarkStart w:id="23" w:name="functional-unit"/>
    <w:p>
      <w:pPr>
        <w:pStyle w:val="Heading3"/>
      </w:pPr>
      <w:r>
        <w:t xml:space="preserve">2.2. Functional Unit</w:t>
      </w:r>
    </w:p>
    <w:p>
      <w:pPr>
        <w:pStyle w:val="FirstParagraph"/>
      </w:pPr>
      <w:r>
        <w:t xml:space="preserve">The functional unit for this analysis is defined as</w:t>
      </w:r>
      <w:r>
        <w:t xml:space="preserve"> </w:t>
      </w:r>
      <w:r>
        <w:rPr>
          <w:bCs/>
          <w:b/>
        </w:rPr>
        <w:t xml:space="preserve">1.0 unit of fzjzpiwqkk</w:t>
      </w:r>
      <w:r>
        <w:t xml:space="preserve">, providing a consistent basis for comparison and quantification of environmental impacts.</w:t>
      </w:r>
    </w:p>
    <w:bookmarkEnd w:id="23"/>
    <w:bookmarkStart w:id="24" w:name="system-boundary"/>
    <w:p>
      <w:pPr>
        <w:pStyle w:val="Heading3"/>
      </w:pPr>
      <w:r>
        <w:t xml:space="preserve">2.3. System Boundary</w:t>
      </w:r>
    </w:p>
    <w:p>
      <w:pPr>
        <w:pStyle w:val="FirstParagraph"/>
      </w:pPr>
      <w:r>
        <w:t xml:space="preserve">The system boundary for this PCF is \'factory_gate\', meaning all emissions up to the point the finished product leaves the production facility are accounted for.</w:t>
      </w:r>
      <w:r>
        <w:t xml:space="preserve"> </w:t>
      </w:r>
      <w:r>
        <w:t xml:space="preserve">However, to provide a comprehensive "cradle-to-grave" perspective, this report extends beyond the strict \'factory_gate\' definition to include downstream</w:t>
      </w:r>
      <w:r>
        <w:t xml:space="preserve"> </w:t>
      </w:r>
      <w:r>
        <w:t xml:space="preserve">transportation, use-phase, and end-of-life scenarios as per the project parameters.</w:t>
      </w:r>
    </w:p>
    <w:bookmarkEnd w:id="24"/>
    <w:bookmarkStart w:id="25" w:name="geographic-scope"/>
    <w:p>
      <w:pPr>
        <w:pStyle w:val="Heading3"/>
      </w:pPr>
      <w:r>
        <w:t xml:space="preserve">2.4. Geographic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Supply Chain Focus:</w:t>
      </w:r>
      <w:r>
        <w:t xml:space="preserve"> </w:t>
      </w:r>
      <w:r>
        <w:t xml:space="preserve">Europe Focused</w:t>
      </w:r>
    </w:p>
    <w:bookmarkEnd w:id="25"/>
    <w:bookmarkStart w:id="26" w:name="allocation"/>
    <w:p>
      <w:pPr>
        <w:pStyle w:val="Heading3"/>
      </w:pPr>
      <w:r>
        <w:t xml:space="preserve">2.5. Allocation</w:t>
      </w:r>
    </w:p>
    <w:p>
      <w:pPr>
        <w:pStyle w:val="FirstParagraph"/>
      </w:pPr>
      <w:r>
        <w:t xml:space="preserve">Emissions are allocated to the functional unit based on mass allocation principles for shared processes where applicable.</w:t>
      </w:r>
      <w:r>
        <w:t xml:space="preserve"> </w:t>
      </w:r>
      <w:r>
        <w:t xml:space="preserve">Where specific data is available (e.g., from the Detailed Bill of Materials), direct allocation of carbon content is utilized.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3" w:name="X35745a8e252718d5a0d40cb3fbfce10aee0336d"/>
    <w:p>
      <w:pPr>
        <w:pStyle w:val="Heading2"/>
      </w:pPr>
      <w:r>
        <w:t xml:space="preserve">3. Lifecycle Mapping (LCI Inventory Stages) &amp; Data Collection</w:t>
      </w:r>
    </w:p>
    <w:p>
      <w:pPr>
        <w:pStyle w:val="FirstParagraph"/>
      </w:pPr>
      <w:r>
        <w:t xml:space="preserve">The lifecycle of fzjzpiwqkk has been mapped across key stages, and data has been collected from primary (provided parameters) and secondary (industry-standard emission factors) sources.</w:t>
      </w:r>
    </w:p>
    <w:bookmarkStart w:id="28" w:name="Xa124a95b981c370289279a4b723120ad8e79cc2"/>
    <w:p>
      <w:pPr>
        <w:pStyle w:val="Heading3"/>
      </w:pPr>
      <w:r>
        <w:t xml:space="preserve">3.1. Materials Acquisition &amp; Pre-processing (Scope 3 - Upstream)</w:t>
      </w:r>
    </w:p>
    <w:p>
      <w:pPr>
        <w:pStyle w:val="FirstParagraph"/>
      </w:pPr>
      <w:r>
        <w:t xml:space="preserve">The Bill of Materials (BOM) for fzjzpiwqkk provides specific carbon impacts for each component, ensuring high-accuracy material impact calculation.</w:t>
      </w:r>
    </w:p>
    <w:p>
      <w:pPr>
        <w:pStyle w:val="BodyText"/>
      </w:pPr>
      <w:r>
        <w:rPr>
          <w:bCs/>
          <w:b/>
        </w:rPr>
        <w:t xml:space="preserve">Detailed Bill of Materials (BOM): llqeitxq</w:t>
      </w:r>
    </w:p>
    <w:p>
      <w:pPr>
        <w:pStyle w:val="BodyText"/>
      </w:pPr>
      <w:r>
        <w:t xml:space="preserve">For illustrative purposes, assuming the provided \'llqeitxq\' string represents the BOM data in the format:</w:t>
      </w:r>
      <w:r>
        <w:t xml:space="preserve"> </w:t>
      </w:r>
      <w:r>
        <w:t xml:space="preserve">`ID, Description, Category, Process, Qty, Unit, Emission Factor, Total Carbon`</w:t>
      </w:r>
      <w:r>
        <w:t xml:space="preserve"> </w:t>
      </w:r>
      <w:r>
        <w:t xml:space="preserve">Example parsing and data for the report\'s demonstration:</w:t>
      </w:r>
    </w:p>
    <w:p>
      <w:pPr>
        <w:numPr>
          <w:ilvl w:val="0"/>
          <w:numId w:val="1002"/>
        </w:numPr>
        <w:pStyle w:val="Compact"/>
      </w:pPr>
      <w:r>
        <w:t xml:space="preserve">1,Steel Component,Metal,Stamping,0.2,kg,2.5,0.5</w:t>
      </w:r>
    </w:p>
    <w:p>
      <w:pPr>
        <w:numPr>
          <w:ilvl w:val="0"/>
          <w:numId w:val="1002"/>
        </w:numPr>
        <w:pStyle w:val="Compact"/>
      </w:pPr>
      <w:r>
        <w:t xml:space="preserve">2,Plastic Enclosure,Polymer,Injection Molding,0.1,kg,3.0,0.3</w:t>
      </w:r>
    </w:p>
    <w:p>
      <w:pPr>
        <w:numPr>
          <w:ilvl w:val="0"/>
          <w:numId w:val="1002"/>
        </w:numPr>
        <w:pStyle w:val="Compact"/>
      </w:pPr>
      <w:r>
        <w:t xml:space="preserve">3,Electronic Chip,Electronics,Assembly,0.01,unit,50.0,0.5</w:t>
      </w:r>
    </w:p>
    <w:p>
      <w:pPr>
        <w:numPr>
          <w:ilvl w:val="0"/>
          <w:numId w:val="1002"/>
        </w:numPr>
        <w:pStyle w:val="Compact"/>
      </w:pPr>
      <w:r>
        <w:t xml:space="preserve">4,Packaging Cardboard,Paper,Cutting,0.05,kg,1.0,0.05</w:t>
      </w:r>
    </w:p>
    <w:p>
      <w:pPr>
        <w:pStyle w:val="FirstParagraph"/>
      </w:pPr>
      <w:r>
        <w:rPr>
          <w:bCs/>
          <w:b/>
        </w:rPr>
        <w:t xml:space="preserve">Detailed Breakdown of Materials: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Steel Component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Stamping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Enclosure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Polymer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Chip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Cardboard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Cutting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</w:tr>
    </w:tbl>
    <w:bookmarkEnd w:id="28"/>
    <w:bookmarkStart w:id="29" w:name="production-scope-1-2"/>
    <w:p>
      <w:pPr>
        <w:pStyle w:val="Heading3"/>
      </w:pPr>
      <w:r>
        <w:t xml:space="preserve">3.2. Production (Scope 1 &amp; 2)</w:t>
      </w:r>
    </w:p>
    <w:p>
      <w:pPr>
        <w:pStyle w:val="FirstParagraph"/>
      </w:pPr>
      <w:r>
        <w:t xml:space="preserve">The production phase, located in China, accounts for direct (Scope 1) and purchased energy (Scope 2) emissions.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izmorxzxgq (e.g., 10 kWh/unit)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zrxdgttsjz (e.g., 75%)</w:t>
      </w:r>
    </w:p>
    <w:bookmarkEnd w:id="29"/>
    <w:bookmarkStart w:id="30" w:name="Xb28e6b746c55ccee7c13ebe725ade644fd176e6"/>
    <w:p>
      <w:pPr>
        <w:pStyle w:val="Heading3"/>
      </w:pPr>
      <w:r>
        <w:t xml:space="preserve">3.3. Transportation &amp; Distribution (Scope 3 - Upstream &amp; Downstream)</w:t>
      </w:r>
    </w:p>
    <w:p>
      <w:pPr>
        <w:pStyle w:val="FirstParagraph"/>
      </w:pPr>
      <w:r>
        <w:t xml:space="preserve">Logistics data is incorporated into the supply chain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Primary Transport Mode:</w:t>
      </w:r>
      <w:r>
        <w:t xml:space="preserve"> </w:t>
      </w:r>
      <w:r>
        <w:t xml:space="preserve">Select Mode (e.g., Road Freight (HGV))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t xml:space="preserve">ngyiikthyk (e.g., 1500 km)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(e.g., Parcel Service)</w:t>
      </w:r>
    </w:p>
    <w:bookmarkEnd w:id="30"/>
    <w:bookmarkStart w:id="31" w:name="use-phase-scope-3---downstream"/>
    <w:p>
      <w:pPr>
        <w:pStyle w:val="Heading3"/>
      </w:pPr>
      <w:r>
        <w:t xml:space="preserve">3.4. Use Phase (Scope 3 - Downstream)</w:t>
      </w:r>
    </w:p>
    <w:p>
      <w:pPr>
        <w:pStyle w:val="FirstParagraph"/>
      </w:pPr>
      <w:r>
        <w:t xml:space="preserve">The use phase calculation considers the product\'s durability and energy consumption.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fyyglotlht (e.g., 5 years)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wysskeqxtx (e.g., 20 kWh/year)</w:t>
      </w:r>
    </w:p>
    <w:bookmarkEnd w:id="31"/>
    <w:bookmarkStart w:id="32" w:name="end-of-life-eol-scope-3---downstream"/>
    <w:p>
      <w:pPr>
        <w:pStyle w:val="Heading3"/>
      </w:pPr>
      <w:r>
        <w:t xml:space="preserve">3.5. End-of-Life (EoL) (Scope 3 - Downstream)</w:t>
      </w:r>
    </w:p>
    <w:p>
      <w:pPr>
        <w:pStyle w:val="FirstParagraph"/>
      </w:pPr>
      <w:r>
        <w:t xml:space="preserve">End-of-Life scenarios reflect circular economy impacts.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tgkmnrmvqq (e.g., 80%)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xngexvnutq (e.g., Product Take-back Program)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42" w:name="Xdd1c2ba429305467bad58a0828410d9d0fce25c"/>
    <w:p>
      <w:pPr>
        <w:pStyle w:val="Heading2"/>
      </w:pPr>
      <w:r>
        <w:t xml:space="preserve">4. Emissions Calculation (Activity * Emission Factor = CO2e)</w:t>
      </w:r>
    </w:p>
    <w:p>
      <w:pPr>
        <w:pStyle w:val="FirstParagraph"/>
      </w:pPr>
      <w:r>
        <w:t xml:space="preserve">Emissions are calculated for each lifecycle stage, categorised by GHG Protocol scopes. Illustrative calculations are provided</w:t>
      </w:r>
      <w:r>
        <w:t xml:space="preserve"> </w:t>
      </w:r>
      <w:r>
        <w:t xml:space="preserve">using the specified parameters and industry-standard emission factors where explicit \'Total Carbon\' values are not provided.</w:t>
      </w:r>
    </w:p>
    <w:bookmarkStart w:id="34" w:name="X49637c1ad15f74a8945fbd1fbd58bd762f80279"/>
    <w:p>
      <w:pPr>
        <w:pStyle w:val="Heading3"/>
      </w:pPr>
      <w:r>
        <w:t xml:space="preserve">4.1. Emission Factors Used (Illustrative Averages)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Electricity Grid Emission Factor (China):</w:t>
      </w:r>
      <w:r>
        <w:t xml:space="preserve"> </w:t>
      </w:r>
      <w:r>
        <w:t xml:space="preserve">0.5568 kg CO2e/kWh (MEE, 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Electricity Grid Emission Factor (Europe Average):</w:t>
      </w:r>
      <w:r>
        <w:t xml:space="preserve"> </w:t>
      </w:r>
      <w:r>
        <w:t xml:space="preserve">0.238 kg CO2e/kWh (Climatiq, 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Road Freight (HGV) Emission Factor:</w:t>
      </w:r>
      <w:r>
        <w:t xml:space="preserve"> </w:t>
      </w:r>
      <w:r>
        <w:t xml:space="preserve">0.1 kg CO2e/tkm (illustrative average for heavy goods vehicles)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Last-Mile Parcel Delivery Emission Factor:</w:t>
      </w:r>
      <w:r>
        <w:t xml:space="preserve"> </w:t>
      </w:r>
      <w:r>
        <w:t xml:space="preserve">0.25 kg CO2e/parcel (illustrative average)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Assumed Product Weight for Transport:</w:t>
      </w:r>
      <w:r>
        <w:t xml:space="preserve"> </w:t>
      </w:r>
      <w:r>
        <w:t xml:space="preserve">0.5 kg (based on BOM example)</w:t>
      </w:r>
    </w:p>
    <w:bookmarkEnd w:id="34"/>
    <w:bookmarkStart w:id="35" w:name="Xd9f75f58232d01e5eb0d45f6ac49b6423377152"/>
    <w:p>
      <w:pPr>
        <w:pStyle w:val="Heading3"/>
      </w:pPr>
      <w:r>
        <w:t xml:space="preserve">4.2. Scope 3: Upstream Emissions - Materials Acquisition &amp; Pre-processing</w:t>
      </w:r>
    </w:p>
    <w:p>
      <w:pPr>
        <w:pStyle w:val="FirstParagraph"/>
      </w:pPr>
      <w:r>
        <w:t xml:space="preserve">Based on the provided BOM, the Total Carbon values are summed directly.</w:t>
      </w:r>
    </w:p>
    <w:p>
      <w:pPr>
        <w:pStyle w:val="BodyText"/>
      </w:pPr>
      <w:r>
        <w:t xml:space="preserve">Total Material Emissions = 0.5 kgCO2e (Steel) + 0.3 kgCO2e (Plastic) + 0.5 kgCO2e (Chip) + 0.05 kgCO2e (Packaging) =</w:t>
      </w:r>
      <w:r>
        <w:t xml:space="preserve"> </w:t>
      </w:r>
      <w:r>
        <w:rPr>
          <w:bCs/>
          <w:b/>
        </w:rPr>
        <w:t xml:space="preserve">1.35 kg CO2e</w:t>
      </w:r>
      <w:r>
        <w:t xml:space="preserve">.</w:t>
      </w:r>
    </w:p>
    <w:bookmarkEnd w:id="35"/>
    <w:bookmarkStart w:id="36" w:name="X42f7b164edba34ee5054a4fef362005c9beb95b"/>
    <w:p>
      <w:pPr>
        <w:pStyle w:val="Heading3"/>
      </w:pPr>
      <w:r>
        <w:t xml:space="preserve">4.3. Scope 2: Production Emissions (Purchased Electricity)</w:t>
      </w:r>
    </w:p>
    <w:p>
      <w:pPr>
        <w:pStyle w:val="FirstParagraph"/>
      </w:pPr>
      <w:r>
        <w:t xml:space="preserve">The factory in China consumes electricity with a specified intensity and renewable energy usage.</w:t>
      </w:r>
    </w:p>
    <w:p>
      <w:pPr>
        <w:numPr>
          <w:ilvl w:val="0"/>
          <w:numId w:val="1008"/>
        </w:numPr>
        <w:pStyle w:val="Compact"/>
      </w:pPr>
      <w:r>
        <w:t xml:space="preserve">Energy Intensity: 10 kWh/unit</w:t>
      </w:r>
    </w:p>
    <w:p>
      <w:pPr>
        <w:numPr>
          <w:ilvl w:val="0"/>
          <w:numId w:val="1008"/>
        </w:numPr>
        <w:pStyle w:val="Compact"/>
      </w:pPr>
      <w:r>
        <w:t xml:space="preserve">Renewable Energy Usage: 75%</w:t>
      </w:r>
    </w:p>
    <w:p>
      <w:pPr>
        <w:numPr>
          <w:ilvl w:val="0"/>
          <w:numId w:val="1008"/>
        </w:numPr>
        <w:pStyle w:val="Compact"/>
      </w:pPr>
      <w:r>
        <w:t xml:space="preserve">Non-renewable Energy: 100% - 75% = 25%</w:t>
      </w:r>
    </w:p>
    <w:p>
      <w:pPr>
        <w:numPr>
          <w:ilvl w:val="0"/>
          <w:numId w:val="1008"/>
        </w:numPr>
        <w:pStyle w:val="Compact"/>
      </w:pPr>
      <w:r>
        <w:t xml:space="preserve">Non-renewable Electricity Consumption = 10 kWh/unit * 25% = 2.5 kWh/unit</w:t>
      </w:r>
    </w:p>
    <w:p>
      <w:pPr>
        <w:numPr>
          <w:ilvl w:val="0"/>
          <w:numId w:val="1008"/>
        </w:numPr>
        <w:pStyle w:val="Compact"/>
      </w:pPr>
      <w:r>
        <w:t xml:space="preserve">Production Emissions = 2.5 kWh/unit * 0.5568 kg CO2e/kWh (China EF) =</w:t>
      </w:r>
      <w:r>
        <w:t xml:space="preserve"> </w:t>
      </w:r>
      <w:r>
        <w:rPr>
          <w:bCs/>
          <w:b/>
        </w:rPr>
        <w:t xml:space="preserve">1.392 kg CO2e/unit</w:t>
      </w:r>
    </w:p>
    <w:bookmarkEnd w:id="36"/>
    <w:bookmarkStart w:id="37" w:name="X08307715d5f2118543b165fa29997c4ccac99e2"/>
    <w:p>
      <w:pPr>
        <w:pStyle w:val="Heading3"/>
      </w:pPr>
      <w:r>
        <w:t xml:space="preserve">4.4. Scope 3: Upstream Transportation &amp; Distribution</w:t>
      </w:r>
    </w:p>
    <w:p>
      <w:pPr>
        <w:pStyle w:val="FirstParagraph"/>
      </w:pPr>
      <w:r>
        <w:t xml:space="preserve">Transportation from suppliers to the factory gate. Assuming materials are transported over the given distance.</w:t>
      </w:r>
    </w:p>
    <w:p>
      <w:pPr>
        <w:numPr>
          <w:ilvl w:val="0"/>
          <w:numId w:val="1009"/>
        </w:numPr>
        <w:pStyle w:val="Compact"/>
      </w:pPr>
      <w:r>
        <w:t xml:space="preserve">Transport Mode: Road Freight (HGV)</w:t>
      </w:r>
    </w:p>
    <w:p>
      <w:pPr>
        <w:numPr>
          <w:ilvl w:val="0"/>
          <w:numId w:val="1009"/>
        </w:numPr>
        <w:pStyle w:val="Compact"/>
      </w:pPr>
      <w:r>
        <w:t xml:space="preserve">Transport Distance: 1500 km</w:t>
      </w:r>
    </w:p>
    <w:p>
      <w:pPr>
        <w:numPr>
          <w:ilvl w:val="0"/>
          <w:numId w:val="1009"/>
        </w:numPr>
        <w:pStyle w:val="Compact"/>
      </w:pPr>
      <w:r>
        <w:t xml:space="preserve">Assumed Product Weight: 0.5 kg (for the finished unit\'s equivalent material transport)</w:t>
      </w:r>
    </w:p>
    <w:p>
      <w:pPr>
        <w:numPr>
          <w:ilvl w:val="0"/>
          <w:numId w:val="1009"/>
        </w:numPr>
        <w:pStyle w:val="Compact"/>
      </w:pPr>
      <w:r>
        <w:t xml:space="preserve">Total Tonne-Kilometers (tkm) = (0.5 kg / 1000 kg/tonne) * 1500 km = 0.75 tkm</w:t>
      </w:r>
    </w:p>
    <w:p>
      <w:pPr>
        <w:numPr>
          <w:ilvl w:val="0"/>
          <w:numId w:val="1009"/>
        </w:numPr>
        <w:pStyle w:val="Compact"/>
      </w:pPr>
      <w:r>
        <w:t xml:space="preserve">Transportation Emissions = 0.75 tkm * 0.1 kg CO2e/tkm =</w:t>
      </w:r>
      <w:r>
        <w:t xml:space="preserve"> </w:t>
      </w:r>
      <w:r>
        <w:rPr>
          <w:bCs/>
          <w:b/>
        </w:rPr>
        <w:t xml:space="preserve">0.075 kg CO2e/unit</w:t>
      </w:r>
    </w:p>
    <w:bookmarkEnd w:id="37"/>
    <w:bookmarkStart w:id="38" w:name="Xd175a6a9f2442e2786252f5f6213d82f3cb02ed"/>
    <w:p>
      <w:pPr>
        <w:pStyle w:val="Heading3"/>
      </w:pPr>
      <w:r>
        <w:t xml:space="preserve">4.5. Scope 3: Downstream Transportation &amp; Distribution (Last-Mile)</w:t>
      </w:r>
    </w:p>
    <w:p>
      <w:pPr>
        <w:pStyle w:val="FirstParagraph"/>
      </w:pPr>
      <w:r>
        <w:t xml:space="preserve">Emissions for delivering the product to the end-consumer.</w:t>
      </w:r>
    </w:p>
    <w:p>
      <w:pPr>
        <w:numPr>
          <w:ilvl w:val="0"/>
          <w:numId w:val="1010"/>
        </w:numPr>
        <w:pStyle w:val="Compact"/>
      </w:pPr>
      <w:r>
        <w:t xml:space="preserve">Last-Mile Delivery Channel: Parcel Service</w:t>
      </w:r>
    </w:p>
    <w:p>
      <w:pPr>
        <w:numPr>
          <w:ilvl w:val="0"/>
          <w:numId w:val="1010"/>
        </w:numPr>
        <w:pStyle w:val="Compact"/>
      </w:pPr>
      <w:r>
        <w:t xml:space="preserve">Last-Mile Emissions = 1 unit * 0.25 kg CO2e/parcel =</w:t>
      </w:r>
      <w:r>
        <w:t xml:space="preserve"> </w:t>
      </w:r>
      <w:r>
        <w:rPr>
          <w:bCs/>
          <w:b/>
        </w:rPr>
        <w:t xml:space="preserve">0.25 kg CO2e/unit</w:t>
      </w:r>
    </w:p>
    <w:bookmarkEnd w:id="38"/>
    <w:bookmarkStart w:id="39" w:name="scope-3-use-phase-emissions"/>
    <w:p>
      <w:pPr>
        <w:pStyle w:val="Heading3"/>
      </w:pPr>
      <w:r>
        <w:t xml:space="preserve">4.6. Scope 3: Use Phase Emissions</w:t>
      </w:r>
    </w:p>
    <w:p>
      <w:pPr>
        <w:pStyle w:val="FirstParagraph"/>
      </w:pPr>
      <w:r>
        <w:t xml:space="preserve">Energy consumption during the product\'s lifespan.</w:t>
      </w:r>
    </w:p>
    <w:p>
      <w:pPr>
        <w:numPr>
          <w:ilvl w:val="0"/>
          <w:numId w:val="1011"/>
        </w:numPr>
        <w:pStyle w:val="Compact"/>
      </w:pPr>
      <w:r>
        <w:t xml:space="preserve">Product Lifespan: 5 years</w:t>
      </w:r>
    </w:p>
    <w:p>
      <w:pPr>
        <w:numPr>
          <w:ilvl w:val="0"/>
          <w:numId w:val="1011"/>
        </w:numPr>
        <w:pStyle w:val="Compact"/>
      </w:pPr>
      <w:r>
        <w:t xml:space="preserve">Energy Consumption in Use: 20 kWh/year</w:t>
      </w:r>
    </w:p>
    <w:p>
      <w:pPr>
        <w:numPr>
          <w:ilvl w:val="0"/>
          <w:numId w:val="1011"/>
        </w:numPr>
        <w:pStyle w:val="Compact"/>
      </w:pPr>
      <w:r>
        <w:t xml:space="preserve">Total Energy Consumption over Lifespan = 20 kWh/year * 5 years = 100 kWh/unit</w:t>
      </w:r>
    </w:p>
    <w:p>
      <w:pPr>
        <w:numPr>
          <w:ilvl w:val="0"/>
          <w:numId w:val="1011"/>
        </w:numPr>
        <w:pStyle w:val="Compact"/>
      </w:pPr>
      <w:r>
        <w:t xml:space="preserve">Use Phase Emissions = 100 kWh/unit * 0.238 kg CO2e/kWh (Europe EF) =</w:t>
      </w:r>
      <w:r>
        <w:t xml:space="preserve"> </w:t>
      </w:r>
      <w:r>
        <w:rPr>
          <w:bCs/>
          <w:b/>
        </w:rPr>
        <w:t xml:space="preserve">23.8 kg CO2e/unit</w:t>
      </w:r>
    </w:p>
    <w:bookmarkEnd w:id="39"/>
    <w:bookmarkStart w:id="40" w:name="X36531d509ce44d5150df6a8a84dbb2851317d23"/>
    <w:p>
      <w:pPr>
        <w:pStyle w:val="Heading3"/>
      </w:pPr>
      <w:r>
        <w:t xml:space="preserve">4.7. Scope 3: End-of-Life (EoL) Emissions / Benefits</w:t>
      </w:r>
    </w:p>
    <w:p>
      <w:pPr>
        <w:pStyle w:val="FirstParagraph"/>
      </w:pPr>
      <w:r>
        <w:t xml:space="preserve">EoL scenarios considering recyclability and circular programs. This calculation typically involves emissions from disposal of non-recyclable parts and avoided emissions from recycling.</w:t>
      </w:r>
    </w:p>
    <w:p>
      <w:pPr>
        <w:numPr>
          <w:ilvl w:val="0"/>
          <w:numId w:val="1012"/>
        </w:numPr>
        <w:pStyle w:val="Compact"/>
      </w:pPr>
      <w:r>
        <w:t xml:space="preserve">Recyclability Percentage: 80%</w:t>
      </w:r>
    </w:p>
    <w:p>
      <w:pPr>
        <w:numPr>
          <w:ilvl w:val="0"/>
          <w:numId w:val="1012"/>
        </w:numPr>
        <w:pStyle w:val="Compact"/>
      </w:pPr>
      <w:r>
        <w:t xml:space="preserve">Circular/Take-back Programs: Product Take-back Program</w:t>
      </w:r>
    </w:p>
    <w:p>
      <w:pPr>
        <w:numPr>
          <w:ilvl w:val="0"/>
          <w:numId w:val="1012"/>
        </w:numPr>
        <w:pStyle w:val="Compact"/>
      </w:pPr>
      <w:r>
        <w:t xml:space="preserve">For illustrative purposes, assuming 20% goes to landfill/incineration (with associated emissions) and 80% is recycled (with associated avoided emissions). The specific impact here is highly dependent on the material type and EoL treatment.</w:t>
      </w:r>
    </w:p>
    <w:p>
      <w:pPr>
        <w:numPr>
          <w:ilvl w:val="0"/>
          <w:numId w:val="1012"/>
        </w:numPr>
        <w:pStyle w:val="Compact"/>
      </w:pPr>
      <w:r>
        <w:t xml:space="preserve">Illustrative EoL Net Emissions = (0.2 * Material Weight * Landfill/Incineration EF) - (0.8 * Recycled Material Weight * Avoided Emissions EF)</w:t>
      </w:r>
    </w:p>
    <w:p>
      <w:pPr>
        <w:numPr>
          <w:ilvl w:val="0"/>
          <w:numId w:val="1012"/>
        </w:numPr>
        <w:pStyle w:val="Compact"/>
      </w:pPr>
      <w:r>
        <w:t xml:space="preserve">Assuming a simplified net impact of</w:t>
      </w:r>
      <w:r>
        <w:t xml:space="preserve"> </w:t>
      </w:r>
      <w:r>
        <w:rPr>
          <w:bCs/>
          <w:b/>
        </w:rPr>
        <w:t xml:space="preserve">-0.1 kg CO2e/unit</w:t>
      </w:r>
      <w:r>
        <w:t xml:space="preserve"> </w:t>
      </w:r>
      <w:r>
        <w:t xml:space="preserve">(net benefit due to high recyclability and circular programs, placeholder value demonstrating methodology).</w:t>
      </w:r>
    </w:p>
    <w:bookmarkEnd w:id="40"/>
    <w:bookmarkStart w:id="41" w:name="X6cb5e98fc5f672b90609cb3addd66567976155f"/>
    <w:p>
      <w:pPr>
        <w:pStyle w:val="Heading3"/>
      </w:pPr>
      <w:r>
        <w:t xml:space="preserve">4.8. Total Product Carbon Footprint (Illustrative Summary)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Illustrative Emissions (kg CO2e/unit)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Materials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Production (Purchased Electricity)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1.392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Upstream Transportation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Downstream Transportation (Last-Mile)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23.8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(Net)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PCF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26.767</w:t>
            </w:r>
          </w:p>
        </w:tc>
      </w:tr>
    </w:tbl>
    <w:p>
      <w:pPr>
        <w:pStyle w:val="BodyText"/>
      </w:pPr>
      <w:r>
        <w:t xml:space="preserve">*Note: Scope 1 emissions (direct from manufacturing processes) are assumed to be negligible for this \'factory_gate\' boundary, but would be included if identified.</w:t>
      </w:r>
      <w:r>
        <w:t xml:space="preserve"> </w:t>
      </w:r>
      <w:r>
        <w:t xml:space="preserve">All calculations are illustrative based on the provided placeholder data and average emission factors.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6" w:name="review-report"/>
    <w:p>
      <w:pPr>
        <w:pStyle w:val="Heading2"/>
      </w:pPr>
      <w:r>
        <w:t xml:space="preserve">5. Review &amp; Report</w:t>
      </w:r>
    </w:p>
    <w:bookmarkStart w:id="43" w:name="hotspot-analysis"/>
    <w:p>
      <w:pPr>
        <w:pStyle w:val="Heading3"/>
      </w:pPr>
      <w:r>
        <w:t xml:space="preserve">5.1. Hotspot Analysis</w:t>
      </w:r>
    </w:p>
    <w:p>
      <w:pPr>
        <w:pStyle w:val="FirstParagraph"/>
      </w:pPr>
      <w:r>
        <w:t xml:space="preserve">Based on the illustrative calculations, the most significant hotspot for</w:t>
      </w:r>
      <w:r>
        <w:t xml:space="preserve"> </w:t>
      </w:r>
      <w:r>
        <w:rPr>
          <w:bCs/>
          <w:b/>
        </w:rPr>
        <w:t xml:space="preserve">fzjzpiwqkk</w:t>
      </w:r>
      <w:r>
        <w:t xml:space="preserve"> </w:t>
      </w:r>
      <w:r>
        <w:t xml:space="preserve">is the</w:t>
      </w:r>
      <w:r>
        <w:t xml:space="preserve"> </w:t>
      </w:r>
      <w:r>
        <w:rPr>
          <w:bCs/>
          <w:b/>
        </w:rPr>
        <w:t xml:space="preserve">Use Phase</w:t>
      </w:r>
      <w:r>
        <w:t xml:space="preserve">,</w:t>
      </w:r>
      <w:r>
        <w:t xml:space="preserve"> </w:t>
      </w:r>
      <w:r>
        <w:t xml:space="preserve">contributing the vast majority of the product\'s total carbon footprint (approx. 89%). This highlights the critical importance of</w:t>
      </w:r>
      <w:r>
        <w:t xml:space="preserve"> </w:t>
      </w:r>
      <w:r>
        <w:t xml:space="preserve">improving energy efficiency during product operation and/or encouraging renewable energy sources for consumers. Materials acquisition</w:t>
      </w:r>
      <w:r>
        <w:t xml:space="preserve"> </w:t>
      </w:r>
      <w:r>
        <w:t xml:space="preserve">and production energy are also notable, but to a lesser extent.</w:t>
      </w:r>
    </w:p>
    <w:bookmarkEnd w:id="43"/>
    <w:bookmarkStart w:id="44" w:name="reliability-and-limitations"/>
    <w:p>
      <w:pPr>
        <w:pStyle w:val="Heading3"/>
      </w:pPr>
      <w:r>
        <w:t xml:space="preserve">5.2. Reliability and Limitations</w:t>
      </w:r>
    </w:p>
    <w:p>
      <w:pPr>
        <w:pStyle w:val="FirstParagraph"/>
      </w:pPr>
      <w:r>
        <w:t xml:space="preserve">The reliability of this PCF is directly dependent on the accuracy and completeness of the provided input parameters (e.g., BOM details,</w:t>
      </w:r>
      <w:r>
        <w:t xml:space="preserve"> </w:t>
      </w:r>
      <w:r>
        <w:t xml:space="preserve">transport distances, energy consumption). Generic or average emission factors used for certain stages (e.g., transport modes, grid electricity)</w:t>
      </w:r>
      <w:r>
        <w:t xml:space="preserve"> </w:t>
      </w:r>
      <w:r>
        <w:t xml:space="preserve">introduce inherent uncertainties. To enhance accuracy, primary data collection for all lifecycle stages and region-specific,</w:t>
      </w:r>
      <w:r>
        <w:t xml:space="preserve"> </w:t>
      </w:r>
      <w:r>
        <w:t xml:space="preserve">up-to-date emission factors are recommended for future analyses.</w:t>
      </w:r>
    </w:p>
    <w:bookmarkEnd w:id="44"/>
    <w:bookmarkStart w:id="45" w:name="X7fc55497565ff523e22dc118b8185658f7b9ce1"/>
    <w:p>
      <w:pPr>
        <w:pStyle w:val="Heading3"/>
      </w:pPr>
      <w:r>
        <w:t xml:space="preserve">5.3. Application of 2026 Land Sector and Removals (LSR) Standard</w:t>
      </w:r>
    </w:p>
    <w:p>
      <w:pPr>
        <w:pStyle w:val="FirstParagraph"/>
      </w:pPr>
      <w:r>
        <w:t xml:space="preserve">While specific data on land use change or carbon removals directly attributable to</w:t>
      </w:r>
      <w:r>
        <w:t xml:space="preserve"> </w:t>
      </w:r>
      <w:r>
        <w:rPr>
          <w:bCs/>
          <w:b/>
        </w:rPr>
        <w:t xml:space="preserve">fzjzpiwqkk</w:t>
      </w:r>
      <w:r>
        <w:t xml:space="preserve">\'s raw material sourcing or manufacturing</w:t>
      </w:r>
      <w:r>
        <w:t xml:space="preserve"> </w:t>
      </w:r>
      <w:r>
        <w:t xml:space="preserve">processes were not explicitly provided, the principles of the GHG Protocol\'s 2026 LSR Standard would guide their inclusion if identified.</w:t>
      </w:r>
      <w:r>
        <w:t xml:space="preserve"> </w:t>
      </w:r>
      <w:r>
        <w:t xml:space="preserve">This includes assessing emissions and removals from land use, land-use change, and forestry activities within the product\'s value chain,</w:t>
      </w:r>
      <w:r>
        <w:t xml:space="preserve"> </w:t>
      </w:r>
      <w:r>
        <w:t xml:space="preserve">as well as any biogenic carbon storage. For this report, no significant LSR impacts were identified based on the provided parameters,</w:t>
      </w:r>
      <w:r>
        <w:t xml:space="preserve"> </w:t>
      </w:r>
      <w:r>
        <w:t xml:space="preserve">but a thorough assessment would involve screening all relevant supply chain activities.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47" w:name="recommendations-for-emission-reduction"/>
    <w:p>
      <w:pPr>
        <w:pStyle w:val="Heading2"/>
      </w:pPr>
      <w:r>
        <w:t xml:space="preserve">6. Recommendations for Emission Reduction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Optimize Use Phase:</w:t>
      </w:r>
      <w:r>
        <w:t xml:space="preserve"> </w:t>
      </w:r>
      <w:r>
        <w:t xml:space="preserve">Invest in R&amp;D for highly energy-efficient designs for</w:t>
      </w:r>
      <w:r>
        <w:t xml:space="preserve"> </w:t>
      </w:r>
      <w:r>
        <w:rPr>
          <w:bCs/>
          <w:b/>
        </w:rPr>
        <w:t xml:space="preserve">fzjzpiwqkk</w:t>
      </w:r>
      <w:r>
        <w:t xml:space="preserve"> </w:t>
      </w:r>
      <w:r>
        <w:t xml:space="preserve">to significantly</w:t>
      </w:r>
      <w:r>
        <w:t xml:space="preserve"> </w:t>
      </w:r>
      <w:r>
        <w:t xml:space="preserve">reduce electricity consumption during its operational lifespan. Educate consumers on efficient usage and the benefits of renewable energy.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Enhance Supply Chain Visibility:</w:t>
      </w:r>
      <w:r>
        <w:t xml:space="preserve"> </w:t>
      </w:r>
      <w:r>
        <w:t xml:space="preserve">Engage with suppliers to obtain more specific, primary data on material and</w:t>
      </w:r>
      <w:r>
        <w:t xml:space="preserve"> </w:t>
      </w:r>
      <w:r>
        <w:t xml:space="preserve">component footprints, reducing reliance on average emission factors. Explore sourcing lower-carbon materials.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Renewable Energy Integration:</w:t>
      </w:r>
      <w:r>
        <w:t xml:space="preserve"> </w:t>
      </w:r>
      <w:r>
        <w:t xml:space="preserve">Continue and expand the use of renewable energy at production facilities.</w:t>
      </w:r>
      <w:r>
        <w:t xml:space="preserve"> </w:t>
      </w:r>
      <w:r>
        <w:t xml:space="preserve">Investigate possibilities for renewable energy procurement or generation in the supply chain.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Strengthen Circular Economy Initiatives:</w:t>
      </w:r>
      <w:r>
        <w:t xml:space="preserve"> </w:t>
      </w:r>
      <w:r>
        <w:t xml:space="preserve">Leverage the high recyclability (e.g., 80%) and the "Product Take-back Program"</w:t>
      </w:r>
      <w:r>
        <w:t xml:space="preserve"> </w:t>
      </w:r>
      <w:r>
        <w:t xml:space="preserve">(e.g., xngexvnutq) to maximize material recovery and minimize virgin resource extraction and waste generation. Quantify the avoided</w:t>
      </w:r>
      <w:r>
        <w:t xml:space="preserve"> </w:t>
      </w:r>
      <w:r>
        <w:t xml:space="preserve">emissions from these programs more precisely.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Explore more carbon-efficient transport modes (e.g., rail or sea freight where feasible) for</w:t>
      </w:r>
      <w:r>
        <w:t xml:space="preserve"> </w:t>
      </w:r>
      <w:r>
        <w:t xml:space="preserve">longer distances, and optimize last-mile delivery routes to reduce fuel consumption.</w:t>
      </w:r>
    </w:p>
    <w:p>
      <w:r>
        <w:pict>
          <v:rect style="width:0;height:1.5pt" o:hralign="center" o:hrstd="t" o:hr="t"/>
        </w:pict>
      </w:r>
    </w:p>
    <w:bookmarkEnd w:id="47"/>
    <w:bookmarkStart w:id="48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This high-detail Product Carbon Footprint analysis for</w:t>
      </w:r>
      <w:r>
        <w:t xml:space="preserve"> </w:t>
      </w:r>
      <w:r>
        <w:rPr>
          <w:bCs/>
          <w:b/>
        </w:rPr>
        <w:t xml:space="preserve">fzjzpiwqkk</w:t>
      </w:r>
      <w:r>
        <w:t xml:space="preserve"> </w:t>
      </w:r>
      <w:r>
        <w:t xml:space="preserve">provides</w:t>
      </w:r>
      <w:r>
        <w:t xml:space="preserve"> </w:t>
      </w:r>
      <w:r>
        <w:rPr>
          <w:bCs/>
          <w:b/>
        </w:rPr>
        <w:t xml:space="preserve">vzwtdfmrwe</w:t>
      </w:r>
      <w:r>
        <w:t xml:space="preserve"> </w:t>
      </w:r>
      <w:r>
        <w:t xml:space="preserve">with crucial insights</w:t>
      </w:r>
      <w:r>
        <w:t xml:space="preserve"> </w:t>
      </w:r>
      <w:r>
        <w:t xml:space="preserve">into its environmental impact across the product lifecycle. The identified hotspots, particularly in the use phase, present clear</w:t>
      </w:r>
      <w:r>
        <w:t xml:space="preserve"> </w:t>
      </w:r>
      <w:r>
        <w:t xml:space="preserve">opportunities for strategic intervention and emission reduction. By continuously refining data collection, investing in sustainable</w:t>
      </w:r>
      <w:r>
        <w:t xml:space="preserve"> </w:t>
      </w:r>
      <w:r>
        <w:t xml:space="preserve">innovations, and actively managing its value chain emissions,</w:t>
      </w:r>
      <w:r>
        <w:t xml:space="preserve"> </w:t>
      </w:r>
      <w:r>
        <w:rPr>
          <w:bCs/>
          <w:b/>
        </w:rPr>
        <w:t xml:space="preserve">vzwtdfmrwe</w:t>
      </w:r>
      <w:r>
        <w:t xml:space="preserve">, guided by</w:t>
      </w:r>
      <w:r>
        <w:t xml:space="preserve"> </w:t>
      </w:r>
      <w:r>
        <w:rPr>
          <w:bCs/>
          <w:b/>
        </w:rPr>
        <w:t xml:space="preserve">ijdlsmyfzl</w:t>
      </w:r>
      <w:r>
        <w:t xml:space="preserve">, can</w:t>
      </w:r>
      <w:r>
        <w:t xml:space="preserve"> </w:t>
      </w:r>
      <w:r>
        <w:t xml:space="preserve">demonstrate strong environmental leadership and progress towards its sustainability goals in alignment with GHG Protocol standards.</w:t>
      </w:r>
    </w:p>
    <w:p>
      <w:pPr>
        <w:pStyle w:val="BodyText"/>
      </w:pPr>
      <w:r>
        <w:t xml:space="preserve">Confidential - Internal Use Only | Page</w:t>
      </w:r>
      <w:r>
        <w:t xml:space="preserve"> </w:t>
      </w:r>
    </w:p>
    <w:bookmarkEnd w:id="48"/>
    <w:bookmarkEnd w:id="4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fzjzpiwqkk</dc:title>
  <dc:creator/>
  <dc:description>Detailed Product Carbon Footprint (PCF) analysis report for fzjzpiwqkk, adhering to GHG Protocol standards and 2026 LSR update requirements. Conducted by ijdlsmyfzl, Senior Sustainability Consultant for vzwtdfmrwe.</dc:description>
  <dc:language>en</dc:language>
  <cp:keywords/>
  <dcterms:created xsi:type="dcterms:W3CDTF">2026-07-15T06:48:58Z</dcterms:created>
  <dcterms:modified xsi:type="dcterms:W3CDTF">2026-07-15T06:48:58Z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