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fyokrrltyj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fyokrrltyj</w:t>
      </w:r>
    </w:p>
    <w:p>
      <w:pPr>
        <w:pStyle w:val="BodyText"/>
      </w:pPr>
      <w:r>
        <w:rPr>
          <w:bCs/>
          <w:b/>
        </w:rPr>
        <w:t xml:space="preserve">Company Name:</w:t>
      </w:r>
      <w:r>
        <w:t xml:space="preserve"> </w:t>
      </w:r>
      <w:r>
        <w:t xml:space="preserve">dvrtpsrggl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dpdkgudeed</w:t>
      </w:r>
    </w:p>
    <w:p>
      <w:pPr>
        <w:pStyle w:val="BodyText"/>
      </w:pPr>
      <w:r>
        <w:t xml:space="preserve">Disclaimer: This report is generated based on available data and industry standards. The calculations presented are illustrative, utilizing provided parameters and generic emission factors where specific, proprietary database access was not available. For definitive results, primary data collection and specialized LCA software integration are recommended.</w:t>
      </w:r>
    </w:p>
    <w:bookmarkEnd w:id="20"/>
    <w:p>
      <w:pPr>
        <w:pStyle w:val="BodyText"/>
      </w:pPr>
      <w:r>
        <w:t xml:space="preserve">Generated Date: May 28, 2026</w:t>
      </w:r>
    </w:p>
    <w:bookmarkStart w:id="44" w:name="X8ec63f4b2bfa87847cc28fd0d3c935e5a6abaef"/>
    <w:p>
      <w:pPr>
        <w:pStyle w:val="Heading1"/>
      </w:pPr>
      <w:r>
        <w:t xml:space="preserve">Detailed Product Carbon Footprint (PCF) Analysis for fyokrrltyj</w:t>
      </w:r>
    </w:p>
    <w:p>
      <w:pPr>
        <w:pStyle w:val="FirstParagraph"/>
      </w:pPr>
      <w:r>
        <w:t xml:space="preserve">As dpdkgudeed, a Senior Sustainability Consultant specializing in GHG Protocol, I have performed a high-detail Product Carbon Footprint (PCF) analysis for the product "fyokrrltyj" for the company "dvrtpsrggl". This report adheres to the GHG Protocol accounting standard, incorporating the 2026 Land Sector and Removals (LSR) Standard updates, and aims for at least 95%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provides a comprehensive Product Carbon Footprint (PCF) analysis for fyokrrltyj, quantifying its greenhouse gas emissions across its lifecycle. The analysis identifies key emission hotspots from raw material acquisition through to end-of-life, offering crucial insights for dvrtpsrggl\'s sustainability strategy. The total estimated PCF for one functional unit of fyokrrltyj is **36.28 kg CO2e**. Key contributors include manufacturing energy, the use phase, and raw material extraction. Circular economy strategies, such as the high recyclability of the product, offer significant avoided emissions.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assessment for fyokrrltyj follows the five-step methodology recommended by the GHG Protocol. This robust approach ensures systematic identification, quantification, and reporting of greenhouse gas emissions.</w:t>
      </w:r>
    </w:p>
    <w:bookmarkStart w:id="22" w:name="functional-unit"/>
    <w:p>
      <w:pPr>
        <w:pStyle w:val="Heading3"/>
      </w:pPr>
      <w:r>
        <w:t xml:space="preserve">1.1. Functional Unit</w:t>
      </w:r>
    </w:p>
    <w:p>
      <w:pPr>
        <w:pStyle w:val="FirstParagraph"/>
      </w:pPr>
      <w:r>
        <w:t xml:space="preserve">The functional unit for this PCF study is defined as **1.0 unit of fyokrrltyj**, delivering its intended function over its lifespan.</w:t>
      </w:r>
    </w:p>
    <w:bookmarkEnd w:id="22"/>
    <w:bookmarkStart w:id="23" w:name="system-boundary"/>
    <w:p>
      <w:pPr>
        <w:pStyle w:val="Heading3"/>
      </w:pPr>
      <w:r>
        <w:t xml:space="preserve">1.2. System Boundary</w:t>
      </w:r>
    </w:p>
    <w:p>
      <w:pPr>
        <w:pStyle w:val="FirstParagraph"/>
      </w:pPr>
      <w:r>
        <w:t xml:space="preserve">The primary system boundary for this report is **"Cradle-to-gate (factory_gate)"**. However, to provide a more holistic view and utilize all provided parameters, the analysis has been extended to include the use phase and end-of-life, effectively providing a "Cradle-to-grave" perspective with gate-level detail for production. This allows for a comprehensive understanding of emissions throughout the product\'s entire value chain.</w:t>
      </w:r>
    </w:p>
    <w:bookmarkEnd w:id="23"/>
    <w:bookmarkStart w:id="24"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numPr>
          <w:ilvl w:val="0"/>
          <w:numId w:val="1001"/>
        </w:numPr>
        <w:pStyle w:val="Compact"/>
      </w:pPr>
      <w:r>
        <w:t xml:space="preserve">**Product Use &amp; End-of-Life:** Assumed primarily within Europe for energy grid mix and waste management scenarios.</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 **GHG Protocol** standards. All emissions are categorized into Scope 1 (direct emissions), Scope 2 (indirect emissions from purchased energy), and Scope 3 (all other indirect emissions across the value chain).</w:t>
      </w:r>
    </w:p>
    <w:bookmarkEnd w:id="25"/>
    <w:bookmarkStart w:id="26" w:name="allocation"/>
    <w:p>
      <w:pPr>
        <w:pStyle w:val="Heading3"/>
      </w:pPr>
      <w:r>
        <w:t xml:space="preserve">1.5. Allocation</w:t>
      </w:r>
    </w:p>
    <w:p>
      <w:pPr>
        <w:pStyle w:val="FirstParagraph"/>
      </w:pPr>
      <w:r>
        <w:t xml:space="preserve">Emissions are allocated directly to the functional unit based on material inputs, energy consumption, and transport activities. Where co-products or by-products might exist, mass-based allocation is assumed for simplicity, aligning with typical product-level assessments unless specific economic or physical relationships dictate otherwise.</w:t>
      </w:r>
    </w:p>
    <w:p>
      <w:r>
        <w:pict>
          <v:rect style="width:0;height:1.5pt" o:hralign="center" o:hrstd="t" o:hr="t"/>
        </w:pict>
      </w:r>
    </w:p>
    <w:bookmarkEnd w:id="26"/>
    <w:bookmarkEnd w:id="27"/>
    <w:bookmarkStart w:id="34" w:name="X07cf0ea829f60a4f8fa47c00f72a11793fbe483"/>
    <w:p>
      <w:pPr>
        <w:pStyle w:val="Heading2"/>
      </w:pPr>
      <w:r>
        <w:t xml:space="preserve">2. Lifecycle Mapping (LCI Inventory Stages) &amp; 3. Data Collection</w:t>
      </w:r>
    </w:p>
    <w:p>
      <w:pPr>
        <w:pStyle w:val="FirstParagraph"/>
      </w:pPr>
      <w:r>
        <w:t xml:space="preserve">The lifecycle of fyokrrltyj has been mapped into distinct stages, and relevant data points, both primary and secondary, have been collected and utilized for the inventory analysis.</w:t>
      </w:r>
    </w:p>
    <w:bookmarkStart w:id="29" w:name="X1b0368d9fa279ce5f642e6e7a88ce573ab93153"/>
    <w:p>
      <w:pPr>
        <w:pStyle w:val="Heading3"/>
      </w:pPr>
      <w:r>
        <w:t xml:space="preserve">2.1. Raw Material Acquisition &amp; Processing (Scope 3 - Upstream)</w:t>
      </w:r>
    </w:p>
    <w:p>
      <w:pPr>
        <w:pStyle w:val="FirstParagraph"/>
      </w:pPr>
      <w:r>
        <w:t xml:space="preserve">This stage accounts for emissions associated with the extraction, processing, and preliminary manufacturing of all raw materials used in fyokrrltyj. The detailed Bill of Materials (BOM) for "xsyyjjsm" was used for high-accuracy material impact calculation. Illustrative emission factors were applied, generally referencing Ecoinvent and DEFRA databases where applicable.</w:t>
      </w:r>
    </w:p>
    <w:bookmarkStart w:id="28" w:name="detailed-bill-of-materials-bom-xsyyjjsm"/>
    <w:p>
      <w:pPr>
        <w:pStyle w:val="Heading4"/>
      </w:pPr>
      <w:r>
        <w:t xml:space="preserve">Detailed Bill of Materials (BOM): xsyyjjsm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 [illustrative, DEFRA]</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 [illustrative, Ecoinvent]</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t xml:space="preserve">**Total emissions from Raw Material Acquisition &amp; Processing:** 6.94 kg CO2e.</w:t>
      </w:r>
    </w:p>
    <w:bookmarkEnd w:id="28"/>
    <w:bookmarkEnd w:id="29"/>
    <w:bookmarkStart w:id="30" w:name="manufacturing-production-phase"/>
    <w:p>
      <w:pPr>
        <w:pStyle w:val="Heading3"/>
      </w:pPr>
      <w:r>
        <w:t xml:space="preserve">2.2. Manufacturing (Production Phase)</w:t>
      </w:r>
    </w:p>
    <w:p>
      <w:pPr>
        <w:pStyle w:val="FirstParagraph"/>
      </w:pPr>
      <w:r>
        <w:t xml:space="preserve">This stage covers emissions from the actual manufacturing processes at the dvrtpsrggl facility in China, including energy consumption and any direct process emissions.</w:t>
      </w:r>
    </w:p>
    <w:p>
      <w:pPr>
        <w:numPr>
          <w:ilvl w:val="0"/>
          <w:numId w:val="1002"/>
        </w:numPr>
        <w:pStyle w:val="Compact"/>
      </w:pPr>
      <w:r>
        <w:t xml:space="preserve">**Energy Intensity (kWh/unit):** 50 kWh/unit (parameter: vmydtxoqpl)</w:t>
      </w:r>
    </w:p>
    <w:p>
      <w:pPr>
        <w:numPr>
          <w:ilvl w:val="0"/>
          <w:numId w:val="1002"/>
        </w:numPr>
        <w:pStyle w:val="Compact"/>
      </w:pPr>
      <w:r>
        <w:t xml:space="preserve">**Renewable Energy Usage:** 60% of electricity purchased (parameter: wqoqqqxiqy).</w:t>
      </w:r>
    </w:p>
    <w:p>
      <w:pPr>
        <w:numPr>
          <w:ilvl w:val="0"/>
          <w:numId w:val="1002"/>
        </w:numPr>
        <w:pStyle w:val="Compact"/>
      </w:pPr>
      <w:r>
        <w:t xml:space="preserve">**Grid Electricity Emission Factor (China):** 0.58 kg CO2e/kWh</w:t>
      </w:r>
    </w:p>
    <w:p>
      <w:pPr>
        <w:numPr>
          <w:ilvl w:val="0"/>
          <w:numId w:val="1002"/>
        </w:numPr>
        <w:pStyle w:val="Compact"/>
      </w:pPr>
      <w:r>
        <w:t xml:space="preserve">**Scope 1 Direct Emissions (illustrative):** 0.5 kg CO2e/unit (e.g., minor fugitive emissions, on-site fuel for heating).</w:t>
      </w:r>
    </w:p>
    <w:bookmarkEnd w:id="30"/>
    <w:bookmarkStart w:id="31" w:name="Xc78fa9e95fdc5a4841e5055035e97eb6a5c3c11"/>
    <w:p>
      <w:pPr>
        <w:pStyle w:val="Heading3"/>
      </w:pPr>
      <w:r>
        <w:t xml:space="preserve">2.3. Transport &amp; Distribution (Scope 3 - Upstream &amp; Downstream)</w:t>
      </w:r>
    </w:p>
    <w:p>
      <w:pPr>
        <w:pStyle w:val="FirstParagraph"/>
      </w:pPr>
      <w:r>
        <w:t xml:space="preserve">This covers the logistics for bringing raw materials to the factory (inbound) and distributing the finished product from the factory to the end-user (outbound, including last-mile delivery). The provided parameters are \'Transport Mode\', \'Transport Distance\', and \'Last-Mile Delivery Channel\', used as placeholders for specific data.</w:t>
      </w:r>
    </w:p>
    <w:p>
      <w:pPr>
        <w:numPr>
          <w:ilvl w:val="0"/>
          <w:numId w:val="1003"/>
        </w:numPr>
        <w:pStyle w:val="Compact"/>
      </w:pPr>
      <w:r>
        <w:t xml:space="preserve">**Inbound Transport Mode (illustrative):** Road Freight (HGV), assumed to originate locally or regionally within China.</w:t>
      </w:r>
    </w:p>
    <w:p>
      <w:pPr>
        <w:numPr>
          <w:ilvl w:val="0"/>
          <w:numId w:val="1003"/>
        </w:numPr>
        <w:pStyle w:val="Compact"/>
      </w:pPr>
      <w:r>
        <w:t xml:space="preserve">**Inbound Transport Distance (illustrative):** An average of 200 km for raw materials to factory, contributing 1.0 kg CO2e/unit.</w:t>
      </w:r>
    </w:p>
    <w:p>
      <w:pPr>
        <w:numPr>
          <w:ilvl w:val="0"/>
          <w:numId w:val="1003"/>
        </w:numPr>
        <w:pStyle w:val="Compact"/>
      </w:pPr>
      <w:r>
        <w:t xml:space="preserve">**Outbound Transport Mode:** "Select Mode" is taken as Ocean Freight (Container Ship) from China to Europe, followed by "Road Freight (Heavy Goods Vehicle)".</w:t>
      </w:r>
    </w:p>
    <w:p>
      <w:pPr>
        <w:numPr>
          <w:ilvl w:val="0"/>
          <w:numId w:val="1003"/>
        </w:numPr>
        <w:pStyle w:val="Compact"/>
      </w:pPr>
      <w:r>
        <w:t xml:space="preserve">**Outbound Transport Distance (illustrative for parameter mvhpyejhsu):** For illustrative allocation to a single unit, a general factor is applied, representing long-distance ocean freight (e.g., 10,000 km) and shorter road distribution (e.g., 500 km). Illustrative total: 1.5 kg CO2e for ocean, 0.5 kg CO2e for road.</w:t>
      </w:r>
    </w:p>
    <w:p>
      <w:pPr>
        <w:numPr>
          <w:ilvl w:val="0"/>
          <w:numId w:val="1003"/>
        </w:numPr>
        <w:pStyle w:val="Compact"/>
      </w:pPr>
      <w:r>
        <w:t xml:space="preserve">**Last-Mile Delivery Channel:** "Delivery Type" is interpreted as Standard Parcel Delivery (Van). Illustrative contribution: 0.2 kg CO2e/unit.</w:t>
      </w:r>
    </w:p>
    <w:bookmarkEnd w:id="31"/>
    <w:bookmarkStart w:id="32" w:name="use-phase-scope-3---downstream"/>
    <w:p>
      <w:pPr>
        <w:pStyle w:val="Heading3"/>
      </w:pPr>
      <w:r>
        <w:t xml:space="preserve">2.4. Use Phase (Scope 3 - Downstream)</w:t>
      </w:r>
    </w:p>
    <w:p>
      <w:pPr>
        <w:pStyle w:val="FirstParagraph"/>
      </w:pPr>
      <w:r>
        <w:t xml:space="preserve">Emissions generated during the product\'s active use by the consumer, based on durability and consumption data.</w:t>
      </w:r>
    </w:p>
    <w:p>
      <w:pPr>
        <w:numPr>
          <w:ilvl w:val="0"/>
          <w:numId w:val="1004"/>
        </w:numPr>
        <w:pStyle w:val="Compact"/>
      </w:pPr>
      <w:r>
        <w:t xml:space="preserve">**Product Lifespan (parameter: fzhrizpzdl):** 5 years</w:t>
      </w:r>
    </w:p>
    <w:p>
      <w:pPr>
        <w:numPr>
          <w:ilvl w:val="0"/>
          <w:numId w:val="1004"/>
        </w:numPr>
        <w:pStyle w:val="Compact"/>
      </w:pPr>
      <w:r>
        <w:t xml:space="preserve">**Energy Consumption in Use (parameter: ywtdniphly):** 10 kWh/year</w:t>
      </w:r>
    </w:p>
    <w:p>
      <w:pPr>
        <w:numPr>
          <w:ilvl w:val="0"/>
          <w:numId w:val="1004"/>
        </w:numPr>
        <w:pStyle w:val="Compact"/>
      </w:pPr>
      <w:r>
        <w:t xml:space="preserve">**Total Energy Consumption over Lifespan:** 50 kWh</w:t>
      </w:r>
    </w:p>
    <w:p>
      <w:pPr>
        <w:numPr>
          <w:ilvl w:val="0"/>
          <w:numId w:val="1004"/>
        </w:numPr>
        <w:pStyle w:val="Compact"/>
      </w:pPr>
      <w:r>
        <w:t xml:space="preserve">**Grid Electricity Emission Factor (Europe average - illustrative):** 0.3 kg CO2e/kWh [illustrative]</w:t>
      </w:r>
    </w:p>
    <w:bookmarkEnd w:id="32"/>
    <w:bookmarkStart w:id="33" w:name="end-of-life-eol-scope-3---downstream"/>
    <w:p>
      <w:pPr>
        <w:pStyle w:val="Heading3"/>
      </w:pPr>
      <w:r>
        <w:t xml:space="preserve">2.5. End-of-Life (EoL) (Scope 3 - Downstream)</w:t>
      </w:r>
    </w:p>
    <w:p>
      <w:pPr>
        <w:pStyle w:val="FirstParagraph"/>
      </w:pPr>
      <w:r>
        <w:t xml:space="preserve">This stage considers the disposal and recycling of the product at the end of its useful life.</w:t>
      </w:r>
    </w:p>
    <w:p>
      <w:pPr>
        <w:numPr>
          <w:ilvl w:val="0"/>
          <w:numId w:val="1005"/>
        </w:numPr>
        <w:pStyle w:val="Compact"/>
      </w:pPr>
      <w:r>
        <w:t xml:space="preserve">**Recyclability Percentage (parameter: ydqyezxwei):** 70% (by mass)</w:t>
      </w:r>
    </w:p>
    <w:p>
      <w:pPr>
        <w:numPr>
          <w:ilvl w:val="0"/>
          <w:numId w:val="1005"/>
        </w:numPr>
        <w:pStyle w:val="Compact"/>
      </w:pPr>
      <w:r>
        <w:t xml:space="preserve">**Circular/Take-back Programs (parameter: ugxjwyxtxr):** dvrtpsrggl actively promotes product return for recycling.</w:t>
      </w:r>
    </w:p>
    <w:p>
      <w:pPr>
        <w:numPr>
          <w:ilvl w:val="0"/>
          <w:numId w:val="1005"/>
        </w:numPr>
        <w:pStyle w:val="Compact"/>
      </w:pPr>
      <w:r>
        <w:t xml:space="preserve">**Emission Factor for Landfill (mixed waste):** 0.3 kg CO2e/kg for non-recycled portion</w:t>
      </w:r>
    </w:p>
    <w:p>
      <w:pPr>
        <w:numPr>
          <w:ilvl w:val="0"/>
          <w:numId w:val="1005"/>
        </w:numPr>
        <w:pStyle w:val="Compact"/>
      </w:pPr>
      <w:r>
        <w:t xml:space="preserve">**Avoided Emissions Factor for Recycling (illustrative credit):** -1.5 kg CO2e/kg for recycled portion, representing material substitution [illustrative]</w:t>
      </w:r>
    </w:p>
    <w:p>
      <w:pPr>
        <w:pStyle w:val="FirstParagraph"/>
      </w:pPr>
      <w:r>
        <w:t xml:space="preserve">**2026 LSR Standard Application:** dvrtpsrggl acknowledges the 2026 Land Sector and Removals (LSR) Standard, effective January 1, 2027, which provides requirements for quantifying and reporting land emissions and CO₂ removals. While specific land-use change data for materials in fyokrrltyj is not available for direct quantification in this illustrative report, future analyses will incorporate detailed land footprint assessments and potential carbon removals from bio-based materials or sequestration projects where applicable, ensuring comprehensive reporting as per the updated standard.</w:t>
      </w:r>
    </w:p>
    <w:p>
      <w:r>
        <w:pict>
          <v:rect style="width:0;height:1.5pt" o:hralign="center" o:hrstd="t" o:hr="t"/>
        </w:pict>
      </w:r>
    </w:p>
    <w:bookmarkEnd w:id="33"/>
    <w:bookmarkEnd w:id="34"/>
    <w:bookmarkStart w:id="37" w:name="emission-calculation"/>
    <w:p>
      <w:pPr>
        <w:pStyle w:val="Heading2"/>
      </w:pPr>
      <w:r>
        <w:t xml:space="preserve">4. Emission Calculation</w:t>
      </w:r>
    </w:p>
    <w:p>
      <w:pPr>
        <w:pStyle w:val="FirstParagraph"/>
      </w:pPr>
      <w:r>
        <w:t xml:space="preserve">The emissions for each lifecycle stage have been calculated based on activity data multiplied by appropriate emission factors, expressed in kilograms of carbon dioxide equivalents (CO2e).</w:t>
      </w:r>
    </w:p>
    <w:bookmarkStart w:id="35"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Activity Data / Parameters</w:t>
            </w:r>
          </w:p>
        </w:tc>
        <w:tc>
          <w:tcPr/>
          <w:p>
            <w:pPr>
              <w:pStyle w:val="Compact"/>
              <w:jc w:val="left"/>
            </w:pPr>
            <w:r>
              <w:t xml:space="preserve">Emission Factor (Illustrative / Referenced)</w:t>
            </w:r>
          </w:p>
        </w:tc>
        <w:tc>
          <w:tcPr/>
          <w:p>
            <w:pPr>
              <w:pStyle w:val="Compact"/>
              <w:jc w:val="left"/>
            </w:pPr>
            <w:r>
              <w:t xml:space="preserve">Total CO2e (kg)</w:t>
            </w:r>
          </w:p>
        </w:tc>
      </w:tr>
      <w:tr>
        <w:tc>
          <w:tcPr/>
          <w:p>
            <w:pPr>
              <w:pStyle w:val="Compact"/>
              <w:jc w:val="left"/>
            </w:pPr>
            <w:r>
              <w:t xml:space="preserve">Raw Material Acquisition &amp; Processing</w:t>
            </w:r>
          </w:p>
        </w:tc>
        <w:tc>
          <w:tcPr/>
          <w:p>
            <w:pPr>
              <w:pStyle w:val="Compact"/>
              <w:jc w:val="left"/>
            </w:pPr>
            <w:r>
              <w:t xml:space="preserve">Based on BOM (xsyyjjsm)</w:t>
            </w:r>
          </w:p>
        </w:tc>
        <w:tc>
          <w:tcPr/>
          <w:p>
            <w:pPr>
              <w:pStyle w:val="Compact"/>
              <w:jc w:val="left"/>
            </w:pPr>
            <w:r>
              <w:t xml:space="preserve">Varied by material</w:t>
            </w:r>
          </w:p>
        </w:tc>
        <w:tc>
          <w:tcPr/>
          <w:p>
            <w:pPr>
              <w:pStyle w:val="Compact"/>
              <w:jc w:val="left"/>
            </w:pPr>
            <w:r>
              <w:t xml:space="preserve">6.94</w:t>
            </w:r>
          </w:p>
        </w:tc>
      </w:tr>
      <w:tr>
        <w:tc>
          <w:tcPr/>
          <w:p>
            <w:pPr>
              <w:pStyle w:val="Compact"/>
              <w:jc w:val="left"/>
            </w:pPr>
            <w:r>
              <w:t xml:space="preserve">Manufacturing (Production)</w:t>
            </w:r>
          </w:p>
        </w:tc>
        <w:tc>
          <w:tcPr/>
          <w:p>
            <w:pPr>
              <w:pStyle w:val="Compact"/>
              <w:jc w:val="left"/>
            </w:pPr>
            <w:r>
              <w:t xml:space="preserve">50 kWh/unit (60% renewable), minor direct emissions</w:t>
            </w:r>
          </w:p>
        </w:tc>
        <w:tc>
          <w:tcPr/>
          <w:p>
            <w:pPr>
              <w:pStyle w:val="Compact"/>
              <w:jc w:val="left"/>
            </w:pPr>
            <w:r>
              <w:t xml:space="preserve">0.58 kg CO2e/kWh (China grid)</w:t>
            </w:r>
          </w:p>
        </w:tc>
        <w:tc>
          <w:tcPr/>
          <w:p>
            <w:pPr>
              <w:pStyle w:val="Compact"/>
              <w:jc w:val="left"/>
            </w:pPr>
            <w:r>
              <w:t xml:space="preserve">12.10</w:t>
            </w:r>
          </w:p>
        </w:tc>
      </w:tr>
      <w:tr>
        <w:tc>
          <w:tcPr/>
          <w:p>
            <w:pPr>
              <w:pStyle w:val="Compact"/>
              <w:jc w:val="left"/>
            </w:pPr>
            <w:r>
              <w:t xml:space="preserve">Transport (Inbound Logistics)</w:t>
            </w:r>
          </w:p>
        </w:tc>
        <w:tc>
          <w:tcPr/>
          <w:p>
            <w:pPr>
              <w:pStyle w:val="Compact"/>
              <w:jc w:val="left"/>
            </w:pPr>
            <w:r>
              <w:t xml:space="preserve">Illustrative general raw material transport</w:t>
            </w:r>
          </w:p>
        </w:tc>
        <w:tc>
          <w:tcPr/>
          <w:p>
            <w:pPr>
              <w:pStyle w:val="Compact"/>
              <w:jc w:val="left"/>
            </w:pPr>
            <w:r>
              <w:t xml:space="preserve">Varied by mode</w:t>
            </w:r>
          </w:p>
        </w:tc>
        <w:tc>
          <w:tcPr/>
          <w:p>
            <w:pPr>
              <w:pStyle w:val="Compact"/>
              <w:jc w:val="left"/>
            </w:pPr>
            <w:r>
              <w:t xml:space="preserve">1.00</w:t>
            </w:r>
          </w:p>
        </w:tc>
      </w:tr>
      <w:tr>
        <w:tc>
          <w:tcPr/>
          <w:p>
            <w:pPr>
              <w:pStyle w:val="Compact"/>
              <w:jc w:val="left"/>
            </w:pPr>
            <w:r>
              <w:t xml:space="preserve">Transport (Outbound Logistics)</w:t>
            </w:r>
          </w:p>
        </w:tc>
        <w:tc>
          <w:tcPr/>
          <w:p>
            <w:pPr>
              <w:pStyle w:val="Compact"/>
              <w:jc w:val="left"/>
            </w:pPr>
            <w:r>
              <w:t xml:space="preserve">Product to customer (Ocean &amp; Road)</w:t>
            </w:r>
          </w:p>
        </w:tc>
        <w:tc>
          <w:tcPr/>
          <w:p>
            <w:pPr>
              <w:pStyle w:val="Compact"/>
              <w:jc w:val="left"/>
            </w:pPr>
            <w:r>
              <w:t xml:space="preserve">Illustrative per-unit allocation</w:t>
            </w:r>
          </w:p>
        </w:tc>
        <w:tc>
          <w:tcPr/>
          <w:p>
            <w:pPr>
              <w:pStyle w:val="Compact"/>
              <w:jc w:val="left"/>
            </w:pPr>
            <w:r>
              <w:t xml:space="preserve">2.20</w:t>
            </w:r>
          </w:p>
        </w:tc>
      </w:tr>
      <w:tr>
        <w:tc>
          <w:tcPr/>
          <w:p>
            <w:pPr>
              <w:pStyle w:val="Compact"/>
              <w:jc w:val="left"/>
            </w:pPr>
            <w:r>
              <w:t xml:space="preserve">Use Phase</w:t>
            </w:r>
          </w:p>
        </w:tc>
        <w:tc>
          <w:tcPr/>
          <w:p>
            <w:pPr>
              <w:pStyle w:val="Compact"/>
              <w:jc w:val="left"/>
            </w:pPr>
            <w:r>
              <w:t xml:space="preserve">50 kWh over 5 years</w:t>
            </w:r>
          </w:p>
        </w:tc>
        <w:tc>
          <w:tcPr/>
          <w:p>
            <w:pPr>
              <w:pStyle w:val="Compact"/>
              <w:jc w:val="left"/>
            </w:pPr>
            <w:r>
              <w:t xml:space="preserve">0.3 kg CO2e/kWh (Europe grid) [illustrative]</w:t>
            </w:r>
          </w:p>
        </w:tc>
        <w:tc>
          <w:tcPr/>
          <w:p>
            <w:pPr>
              <w:pStyle w:val="Compact"/>
              <w:jc w:val="left"/>
            </w:pPr>
            <w:r>
              <w:t xml:space="preserve">15.00</w:t>
            </w:r>
          </w:p>
        </w:tc>
      </w:tr>
      <w:tr>
        <w:tc>
          <w:tcPr/>
          <w:p>
            <w:pPr>
              <w:pStyle w:val="Compact"/>
              <w:jc w:val="left"/>
            </w:pPr>
            <w:r>
              <w:t xml:space="preserve">End-of-Life (Net)</w:t>
            </w:r>
          </w:p>
        </w:tc>
        <w:tc>
          <w:tcPr/>
          <w:p>
            <w:pPr>
              <w:pStyle w:val="Compact"/>
              <w:jc w:val="left"/>
            </w:pPr>
            <w:r>
              <w:t xml:space="preserve">70% recycled (1 kg product)</w:t>
            </w:r>
          </w:p>
        </w:tc>
        <w:tc>
          <w:tcPr/>
          <w:p>
            <w:pPr>
              <w:pStyle w:val="Compact"/>
              <w:jc w:val="left"/>
            </w:pPr>
            <w:r>
              <w:t xml:space="preserve">Credit for recycling, debit for landfill</w:t>
            </w:r>
          </w:p>
        </w:tc>
        <w:tc>
          <w:tcPr/>
          <w:p>
            <w:pPr>
              <w:pStyle w:val="Compact"/>
              <w:jc w:val="left"/>
            </w:pPr>
            <w:r>
              <w:t xml:space="preserve">-0.96</w:t>
            </w:r>
          </w:p>
        </w:tc>
      </w:tr>
    </w:tbl>
    <w:p>
      <w:pPr>
        <w:pStyle w:val="BodyText"/>
      </w:pPr>
      <w:r>
        <w:t xml:space="preserve">**Total Product Carbon Footprint (PCF) for fyokrrltyj:** **36.28 kg CO2e / functional unit**.</w:t>
      </w:r>
    </w:p>
    <w:bookmarkEnd w:id="35"/>
    <w:bookmarkStart w:id="36" w:name="X46853a1f8172270e9f00252ab619f406734bbd6"/>
    <w:p>
      <w:pPr>
        <w:pStyle w:val="Heading3"/>
      </w:pPr>
      <w:r>
        <w:t xml:space="preserve">4.2. Emissions Categorization by GHG Protocol Scope</w:t>
      </w:r>
    </w:p>
    <w:p>
      <w:pPr>
        <w:pStyle w:val="FirstParagraph"/>
      </w:pPr>
      <w:r>
        <w:t xml:space="preserve">The total PCF is broken down according to the GHG Protocol\'s Scope 1, Scope 2, and Scope 3 definitions.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 of Total PCF</w:t>
            </w:r>
          </w:p>
        </w:tc>
      </w:tr>
      <w:tr>
        <w:tc>
          <w:tcPr/>
          <w:p>
            <w:pPr>
              <w:pStyle w:val="Compact"/>
              <w:jc w:val="left"/>
            </w:pPr>
            <w:r>
              <w:t xml:space="preserve">Scope 1</w:t>
            </w:r>
          </w:p>
        </w:tc>
        <w:tc>
          <w:tcPr/>
          <w:p>
            <w:pPr>
              <w:pStyle w:val="Compact"/>
              <w:jc w:val="left"/>
            </w:pPr>
            <w:r>
              <w:t xml:space="preserve">Direct emissions from owned or controlled sources (e.g., onsite fuel combustion).</w:t>
            </w:r>
          </w:p>
        </w:tc>
        <w:tc>
          <w:tcPr/>
          <w:p>
            <w:pPr>
              <w:pStyle w:val="Compact"/>
              <w:jc w:val="left"/>
            </w:pPr>
            <w:r>
              <w:t xml:space="preserve">0.50</w:t>
            </w:r>
          </w:p>
        </w:tc>
        <w:tc>
          <w:tcPr/>
          <w:p>
            <w:pPr>
              <w:pStyle w:val="Compact"/>
              <w:jc w:val="left"/>
            </w:pPr>
            <w:r>
              <w:t xml:space="preserve">1.4%</w:t>
            </w:r>
          </w:p>
        </w:tc>
      </w:tr>
      <w:tr>
        <w:tc>
          <w:tcPr/>
          <w:p>
            <w:pPr>
              <w:pStyle w:val="Compact"/>
              <w:jc w:val="left"/>
            </w:pPr>
            <w:r>
              <w:t xml:space="preserve">Scope 2</w:t>
            </w:r>
          </w:p>
        </w:tc>
        <w:tc>
          <w:tcPr/>
          <w:p>
            <w:pPr>
              <w:pStyle w:val="Compact"/>
              <w:jc w:val="left"/>
            </w:pPr>
            <w:r>
              <w:t xml:space="preserve">Indirect emissions from the generation of purchased electricity, steam, heating, and cooling.</w:t>
            </w:r>
          </w:p>
        </w:tc>
        <w:tc>
          <w:tcPr/>
          <w:p>
            <w:pPr>
              <w:pStyle w:val="Compact"/>
              <w:jc w:val="left"/>
            </w:pPr>
            <w:r>
              <w:t xml:space="preserve">11.60</w:t>
            </w:r>
          </w:p>
        </w:tc>
        <w:tc>
          <w:tcPr/>
          <w:p>
            <w:pPr>
              <w:pStyle w:val="Compact"/>
              <w:jc w:val="left"/>
            </w:pPr>
            <w:r>
              <w:t xml:space="preserve">32.0%</w:t>
            </w:r>
          </w:p>
        </w:tc>
      </w:tr>
      <w:tr>
        <w:tc>
          <w:tcPr/>
          <w:p>
            <w:pPr>
              <w:pStyle w:val="Compact"/>
              <w:jc w:val="left"/>
            </w:pPr>
            <w:r>
              <w:t xml:space="preserve">Scope 3</w:t>
            </w:r>
          </w:p>
        </w:tc>
        <w:tc>
          <w:tcPr/>
          <w:p>
            <w:pPr>
              <w:pStyle w:val="Compact"/>
              <w:jc w:val="left"/>
            </w:pPr>
            <w:r>
              <w:t xml:space="preserve">All other indirect emissions that occur in the value chain of the reporting company (both upstream and downstream).</w:t>
            </w:r>
          </w:p>
        </w:tc>
        <w:tc>
          <w:tcPr/>
          <w:p>
            <w:pPr>
              <w:pStyle w:val="Compact"/>
              <w:jc w:val="left"/>
            </w:pPr>
            <w:r>
              <w:t xml:space="preserve">24.18</w:t>
            </w:r>
          </w:p>
        </w:tc>
        <w:tc>
          <w:tcPr/>
          <w:p>
            <w:pPr>
              <w:pStyle w:val="Compact"/>
              <w:jc w:val="left"/>
            </w:pPr>
            <w:r>
              <w:t xml:space="preserve">66.6%</w:t>
            </w:r>
          </w:p>
        </w:tc>
      </w:tr>
      <w:tr>
        <w:tc>
          <w:tcPr>
            <w:gridSpan w:val="2"/>
          </w:tcPr>
          <w:p>
            <w:pPr>
              <w:pStyle w:val="Compact"/>
              <w:jc w:val="left"/>
            </w:pPr>
            <w:r>
              <w:t xml:space="preserve">**Total PCF**</w:t>
            </w:r>
          </w:p>
        </w:tc>
        <w:tc>
          <w:tcPr/>
          <w:p>
            <w:pPr>
              <w:pStyle w:val="Compact"/>
              <w:jc w:val="left"/>
            </w:pPr>
            <w:r>
              <w:t xml:space="preserve">**36.28**</w:t>
            </w:r>
          </w:p>
        </w:tc>
        <w:tc>
          <w:tcPr/>
          <w:p>
            <w:pPr>
              <w:pStyle w:val="Compact"/>
              <w:jc w:val="left"/>
            </w:pPr>
            <w:r>
              <w:t xml:space="preserve">**100%**</w:t>
            </w:r>
          </w:p>
        </w:tc>
      </w:tr>
    </w:tbl>
    <w:p>
      <w:pPr>
        <w:pStyle w:val="BodyText"/>
      </w:pPr>
      <w:r>
        <w:t xml:space="preserve">**Scope 3 Compliance:** With **66.6%** of the total PCF attributed to Scope 3 emissions in this illustrative analysis, dvrtpsrggl is committed to achieving at least **95% coverage** for Scope 3 reporting as per the proposed 2026 GHG Protocol requirements. This will necessitate deeper engagement with suppliers and customers to gather more specific primary data across all relevant Scope 3 categories, including other value chain activities as per the proposed Category 16.</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The analysis identifies the following key emission hotspots for fyokrrltyj:</w:t>
      </w:r>
    </w:p>
    <w:p>
      <w:pPr>
        <w:numPr>
          <w:ilvl w:val="0"/>
          <w:numId w:val="1006"/>
        </w:numPr>
        <w:pStyle w:val="Compact"/>
      </w:pPr>
      <w:r>
        <w:t xml:space="preserve">**Use Phase (Scope 3):** The energy consumed by the product during its 5-year lifespan contributes the largest portion (15.00 kg CO2e), representing 41.3% of the total PCF. Optimizing energy efficiency of the product design is paramount.</w:t>
      </w:r>
    </w:p>
    <w:p>
      <w:pPr>
        <w:numPr>
          <w:ilvl w:val="0"/>
          <w:numId w:val="1006"/>
        </w:numPr>
        <w:pStyle w:val="Compact"/>
      </w:pPr>
      <w:r>
        <w:t xml:space="preserve">**Manufacturing (Scope 2):** Energy consumption during production accounts for a significant portion (32.0%) of the PCF, primarily due to grid electricity usage in China. Increasing renewable energy sourcing beyond the current 60% is a critical lever for reduction.</w:t>
      </w:r>
    </w:p>
    <w:p>
      <w:pPr>
        <w:numPr>
          <w:ilvl w:val="0"/>
          <w:numId w:val="1006"/>
        </w:numPr>
        <w:pStyle w:val="Compact"/>
      </w:pPr>
      <w:r>
        <w:t xml:space="preserve">**Raw Materials (Scope 3):** The extraction and processing of materials, particularly the Circuit Board and Aluminum Casing, are notable contributors. Exploring lower-carbon alternative materials or increasing recycled content can reduce this impact.</w:t>
      </w:r>
    </w:p>
    <w:p>
      <w:pPr>
        <w:numPr>
          <w:ilvl w:val="0"/>
          <w:numId w:val="1006"/>
        </w:numPr>
        <w:pStyle w:val="Compact"/>
      </w:pPr>
      <w:r>
        <w:t xml:space="preserve">**End-of-Life (Scope 3):** The current high recyclability (70%) offers a significant carbon credit, reducing the overall PCF. Further enhancing circular programs and recyclability can amplify this benefit.</w:t>
      </w:r>
    </w:p>
    <w:bookmarkEnd w:id="38"/>
    <w:bookmarkStart w:id="39" w:name="reliability-and-limitations"/>
    <w:p>
      <w:pPr>
        <w:pStyle w:val="Heading3"/>
      </w:pPr>
      <w:r>
        <w:t xml:space="preserve">5.2. Reliability and Limitations</w:t>
      </w:r>
    </w:p>
    <w:p>
      <w:pPr>
        <w:pStyle w:val="FirstParagraph"/>
      </w:pPr>
      <w:r>
        <w:t xml:space="preserve">This report provides a high-level, illustrative PCF based on the parameters provided and publicly available, generic emission factors where specific data was not supplied (e.g., Ecoinvent, DEFRA equivalents). While the methodology adheres to GHG Protocol, the accuracy of the absolute figures is dependent on the representativeness of these illustrative factors and assumptions. For a definitive and verifiable PCF, dvrtpsrggl should pursue primary data collection for all significant emission sources and utilize commercial LCA databases and software.</w:t>
      </w:r>
    </w:p>
    <w:bookmarkEnd w:id="39"/>
    <w:bookmarkStart w:id="40" w:name="recommendations-for-reduction"/>
    <w:p>
      <w:pPr>
        <w:pStyle w:val="Heading3"/>
      </w:pPr>
      <w:r>
        <w:t xml:space="preserve">5.3. Recommendations for Reduction</w:t>
      </w:r>
    </w:p>
    <w:p>
      <w:pPr>
        <w:pStyle w:val="FirstParagraph"/>
      </w:pPr>
      <w:r>
        <w:t xml:space="preserve">Based on this analysis, dvrtpsrggl should focus on:</w:t>
      </w:r>
    </w:p>
    <w:p>
      <w:pPr>
        <w:numPr>
          <w:ilvl w:val="0"/>
          <w:numId w:val="1007"/>
        </w:numPr>
        <w:pStyle w:val="Compact"/>
      </w:pPr>
      <w:r>
        <w:t xml:space="preserve">**Enhancing Product Energy Efficiency:** Redesign fyokrrltyj to minimize energy consumption during its use phase, as this is the largest hotspot.</w:t>
      </w:r>
    </w:p>
    <w:p>
      <w:pPr>
        <w:numPr>
          <w:ilvl w:val="0"/>
          <w:numId w:val="1007"/>
        </w:numPr>
        <w:pStyle w:val="Compact"/>
      </w:pPr>
      <w:r>
        <w:t xml:space="preserve">**Optimizing Manufacturing Energy:** Invest in 100% renewable energy procurement or on-site renewable energy generation for its Chinese manufacturing facility, reducing Scope 2 emissions.</w:t>
      </w:r>
    </w:p>
    <w:p>
      <w:pPr>
        <w:numPr>
          <w:ilvl w:val="0"/>
          <w:numId w:val="1007"/>
        </w:numPr>
        <w:pStyle w:val="Compact"/>
      </w:pPr>
      <w:r>
        <w:t xml:space="preserve">**Material Innovation:** Explore lightweighting, high-recycled content materials, and bio-based alternatives for components like the plastic housing and packaging.</w:t>
      </w:r>
    </w:p>
    <w:p>
      <w:pPr>
        <w:numPr>
          <w:ilvl w:val="0"/>
          <w:numId w:val="1007"/>
        </w:numPr>
        <w:pStyle w:val="Compact"/>
      </w:pPr>
      <w:r>
        <w:t xml:space="preserve">**Strengthening Circularity:** Expand take-back programs and explore innovative recycling technologies to increase the recyclability percentage beyond 70%, leveraging greater avoided emissions.</w:t>
      </w:r>
    </w:p>
    <w:p>
      <w:pPr>
        <w:numPr>
          <w:ilvl w:val="0"/>
          <w:numId w:val="1007"/>
        </w:numPr>
        <w:pStyle w:val="Compact"/>
      </w:pPr>
      <w:r>
        <w:t xml:space="preserve">**Supplier Engagement:** Collaborate closely with upstream suppliers to gather primary data and drive emission reductions within the raw material acquisition and processing stages to enhance Scope 3 compliance.</w:t>
      </w:r>
    </w:p>
    <w:p>
      <w:r>
        <w:pict>
          <v:rect style="width:0;height:1.5pt" o:hralign="center" o:hrstd="t" o:hr="t"/>
        </w:pict>
      </w:r>
    </w:p>
    <w:bookmarkEnd w:id="40"/>
    <w:bookmarkEnd w:id="41"/>
    <w:bookmarkStart w:id="43" w:name="conclusion"/>
    <w:p>
      <w:pPr>
        <w:pStyle w:val="Heading2"/>
      </w:pPr>
      <w:r>
        <w:t xml:space="preserve">Conclusion</w:t>
      </w:r>
    </w:p>
    <w:p>
      <w:pPr>
        <w:pStyle w:val="FirstParagraph"/>
      </w:pPr>
      <w:r>
        <w:t xml:space="preserve">The PCF analysis for fyokrrltyj provides dvrtpsrggl with a foundational understanding of its product\'s environmental impact. By addressing the identified hotspots and implementing the recommended strategies, dvrtpsrggl can significantly reduce the carbon footprint of fyokrrltyj, aligning with its sustainability goals and contributing to a low-carbon economy. This report serves as a critical step towards comprehensive environmental stewardship and compliance with evolving standards such as the 2026 LSR Update.</w:t>
      </w:r>
    </w:p>
    <w:p>
      <w:pPr>
        <w:pStyle w:val="BodyText"/>
      </w:pPr>
      <w:r>
        <w:t xml:space="preserve">Confidential - Internal Use Only | Page</w:t>
      </w:r>
      <w:r>
        <w:t xml:space="preserve"> </w:t>
      </w:r>
      <w:bookmarkStart w:id="42" w:name="page-num"/>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fyokrrltyj</dc:title>
  <dc:creator/>
  <dc:description>Detailed Product Carbon Footprint (PCF) analysis report for fyokrrltyj by dvrtpsrggl, adhering to GHG Protocol standards and 2026 LSR updates.</dc:description>
  <dc:language>en</dc:language>
  <cp:keywords/>
  <dcterms:created xsi:type="dcterms:W3CDTF">2026-05-30T10:36:04Z</dcterms:created>
  <dcterms:modified xsi:type="dcterms:W3CDTF">2026-05-30T10:36:04Z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