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fyihjjzfnk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fyihjjzfnk</w:t>
      </w:r>
    </w:p>
    <w:p>
      <w:pPr>
        <w:pStyle w:val="BodyText"/>
      </w:pPr>
      <w:r>
        <w:rPr>
          <w:bCs/>
          <w:b/>
        </w:rPr>
        <w:t xml:space="preserve">Company:</w:t>
      </w:r>
      <w:r>
        <w:t xml:space="preserve"> </w:t>
      </w:r>
      <w:r>
        <w:t xml:space="preserve">ffjrgvzmro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dpevxixlyx</w:t>
      </w:r>
    </w:p>
    <w:p>
      <w:pPr>
        <w:pStyle w:val="BodyText"/>
      </w:pPr>
      <w:r>
        <w:t xml:space="preserve">Disclaimer: This report is generated based on available data and industry standards. While every effort has been made to ensure accuracy, the actual environmental impact may vary based on real-time operational specifics and evolving data sets.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fyihjjzfnk</w:t>
      </w:r>
    </w:p>
    <w:p>
      <w:pPr>
        <w:pStyle w:val="BodyText"/>
      </w:pPr>
      <w:r>
        <w:rPr>
          <w:bCs/>
          <w:b/>
        </w:rPr>
        <w:t xml:space="preserve">Company:</w:t>
      </w:r>
      <w:r>
        <w:t xml:space="preserve"> </w:t>
      </w:r>
      <w:r>
        <w:t xml:space="preserve">ffjrgvzmro</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fyihjjzfnk, manufactured by ffjrgvzmro. The assessment, conducted by Senior Sustainability Consultant dpevxixlyx, rigorously adheres to the GHG Protocol\'s Product Life Cycle Accounting and Reporting Standard. It provides a cradle-to-grave quantification of greenhouse gas (GHG) emissions, encompassing raw material acquisition, manufacturing, transportation, use-phase, and end-of-life scenarios. Special attention has been given to achieving high Scope 3 coverage, as per 2026 requirements, and acknowledging the principles of the Land Sector and Removals (LSR) Standard. The analysis identifies key emission hotspots across the product\'s lifecycle, offering a foundational understanding for targeted emission reduction strategies.</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scope of this Product Carbon Footprint (PCF) analysis for fyihjjzfnk is defined as follows:</w:t>
      </w:r>
    </w:p>
    <w:p>
      <w:pPr>
        <w:numPr>
          <w:ilvl w:val="0"/>
          <w:numId w:val="1001"/>
        </w:numPr>
        <w:pStyle w:val="Compact"/>
      </w:pPr>
      <w:r>
        <w:rPr>
          <w:bCs/>
          <w:b/>
        </w:rPr>
        <w:t xml:space="preserve">Functional Unit:</w:t>
      </w:r>
      <w:r>
        <w:t xml:space="preserve"> </w:t>
      </w:r>
      <w:r>
        <w:t xml:space="preserve">1.0 unit of fyihjjzfnk.</w:t>
      </w:r>
    </w:p>
    <w:p>
      <w:pPr>
        <w:numPr>
          <w:ilvl w:val="0"/>
          <w:numId w:val="1001"/>
        </w:numPr>
        <w:pStyle w:val="Compact"/>
      </w:pPr>
      <w:r>
        <w:rPr>
          <w:bCs/>
          <w:b/>
        </w:rPr>
        <w:t xml:space="preserve">System Boundary:</w:t>
      </w:r>
      <w:r>
        <w:t xml:space="preserve"> </w:t>
      </w:r>
      <w:r>
        <w:t xml:space="preserve">A cradle-to-grave approach has been adopted to capture the full lifecycle impact. While the initial focus on "factory_gate" for upstream and production emissions is acknowledged, the analysis extends to include the downstream use phase and end-of-life impacts to provide a comprehensive view.</w:t>
      </w:r>
    </w:p>
    <w:p>
      <w:pPr>
        <w:numPr>
          <w:ilvl w:val="0"/>
          <w:numId w:val="1001"/>
        </w:numPr>
        <w:pStyle w:val="Compact"/>
      </w:pPr>
      <w:r>
        <w:rPr>
          <w:bCs/>
          <w:b/>
        </w:rPr>
        <w:t xml:space="preserve">Geographic Scope:</w:t>
      </w:r>
      <w:r>
        <w:t xml:space="preserve"> </w:t>
      </w:r>
      <w:r>
        <w:t xml:space="preserve">Final production occurs in China, with a supply chain focus on Europe for sourcing and distribution.</w:t>
      </w:r>
    </w:p>
    <w:p>
      <w:pPr>
        <w:numPr>
          <w:ilvl w:val="0"/>
          <w:numId w:val="1001"/>
        </w:numPr>
        <w:pStyle w:val="Compact"/>
      </w:pPr>
      <w:r>
        <w:rPr>
          <w:bCs/>
          <w:b/>
        </w:rPr>
        <w:t xml:space="preserve">Accounting Standard:</w:t>
      </w:r>
      <w:r>
        <w:t xml:space="preserve"> </w:t>
      </w:r>
      <w:r>
        <w:t xml:space="preserve">This analysis strictly follows the GHG Protocol\'s Product Life Cycle Accounting and Reporting Standard. Emissions are categorized into Scope 1 (direct emissions), Scope 2 (purchased energy), and Scope 3 (value chain emissions).</w:t>
      </w:r>
    </w:p>
    <w:p>
      <w:pPr>
        <w:numPr>
          <w:ilvl w:val="0"/>
          <w:numId w:val="1001"/>
        </w:numPr>
        <w:pStyle w:val="Compact"/>
      </w:pPr>
      <w:r>
        <w:rPr>
          <w:bCs/>
          <w:b/>
        </w:rPr>
        <w:t xml:space="preserve">Allocation:</w:t>
      </w:r>
      <w:r>
        <w:t xml:space="preserve"> </w:t>
      </w:r>
      <w:r>
        <w:t xml:space="preserve">Emissions are primarily allocated based on mass for material inputs and energy consumption for operational phases. For recycling, an avoided burden approach is utilized to credit the system for materials returned to the loop.</w:t>
      </w:r>
    </w:p>
    <w:p>
      <w:pPr>
        <w:pStyle w:val="FirstParagraph"/>
      </w:pPr>
      <w:r>
        <w:t xml:space="preserve">In line with the 2026 LSR Update, this report acknowledges the Land Sector and Removals (LSR) Standard. While specific land use and carbon removal data for fyihjjzfnk were not available, future iterations of this assessment should aim to integrate such data for a more holistic view.</w:t>
      </w:r>
    </w:p>
    <w:p>
      <w:r>
        <w:pict>
          <v:rect style="width:0;height:1.5pt" o:hralign="center" o:hrstd="t" o:hr="t"/>
        </w:pict>
      </w:r>
    </w:p>
    <w:bookmarkEnd w:id="23"/>
    <w:bookmarkStart w:id="29" w:name="X13ea723773b6d84793fc59a48122fe4fa721f92"/>
    <w:p>
      <w:pPr>
        <w:pStyle w:val="Heading2"/>
      </w:pPr>
      <w:r>
        <w:t xml:space="preserve">2. Mapping the Lifecycle &amp; 3. Data Collection (LCI Inventory Stages)</w:t>
      </w:r>
    </w:p>
    <w:p>
      <w:pPr>
        <w:pStyle w:val="FirstParagraph"/>
      </w:pPr>
      <w:r>
        <w:t xml:space="preserve">The lifecycle of fyihjjzfnk is broken down into several stages, for which detailed primary and secondary data have been collected or estimated using industry-standard emission factors.</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 fyihjjzfnk was used to calculate the carbon impact of raw material acquisition and pre-processing. The emission factors applied are cradle-to-gate, representing the impacts from extraction through to the point of material readiness for manufacturing.</w:t>
      </w:r>
    </w:p>
    <w:p>
      <w:pPr>
        <w:pStyle w:val="BodyText"/>
      </w:pPr>
      <w:r>
        <w:rPr>
          <w:bCs/>
          <w:b/>
        </w:rPr>
        <w:t xml:space="preserve">Detailed Bill of Materials (BOM) - gvktnkqk: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BOM_ITEM_001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w:t>
            </w:r>
          </w:p>
        </w:tc>
        <w:tc>
          <w:tcPr/>
          <w:p>
            <w:pPr>
              <w:pStyle w:val="Compact"/>
              <w:jc w:val="left"/>
            </w:pPr>
            <w:r>
              <w:t xml:space="preserve">0.625</w:t>
            </w:r>
          </w:p>
        </w:tc>
      </w:tr>
      <w:tr>
        <w:tc>
          <w:tcPr/>
          <w:p>
            <w:pPr>
              <w:pStyle w:val="Compact"/>
              <w:jc w:val="left"/>
            </w:pPr>
            <w:r>
              <w:t xml:space="preserve">BOM_ITEM_002</w:t>
            </w:r>
          </w:p>
        </w:tc>
        <w:tc>
          <w:tcPr/>
          <w:p>
            <w:pPr>
              <w:pStyle w:val="Compact"/>
              <w:jc w:val="left"/>
            </w:pPr>
            <w:r>
              <w:t xml:space="preserve">ABS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BOM_ITEM_003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0.900</w:t>
            </w:r>
          </w:p>
        </w:tc>
      </w:tr>
      <w:tr>
        <w:tc>
          <w:tcPr/>
          <w:p>
            <w:pPr>
              <w:pStyle w:val="Compact"/>
              <w:jc w:val="left"/>
            </w:pPr>
            <w:r>
              <w:t xml:space="preserve">BOM_ITEM_004</w:t>
            </w:r>
          </w:p>
        </w:tc>
        <w:tc>
          <w:tcPr/>
          <w:p>
            <w:pPr>
              <w:pStyle w:val="Compact"/>
              <w:jc w:val="left"/>
            </w:pPr>
            <w:r>
              <w:t xml:space="preserve">Li-ion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2.000</w:t>
            </w:r>
          </w:p>
        </w:tc>
      </w:tr>
      <w:tr>
        <w:tc>
          <w:tcPr/>
          <w:p>
            <w:pPr>
              <w:pStyle w:val="Compact"/>
              <w:jc w:val="left"/>
            </w:pPr>
            <w:r>
              <w:t xml:space="preserve">BOM_ITEM_005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bl>
    <w:p>
      <w:pPr>
        <w:pStyle w:val="BodyText"/>
      </w:pPr>
      <w:r>
        <w:t xml:space="preserve">The emission factors used for materials are representative industry averages. For instance, the factor for Aluminum Casing accounts for the energy-intensive nature of aluminum production and extrusion. The ABS Housing factor is consistent with typical cradle-to-gate impacts for virgin ABS plastic. PCBA and Li-ion Battery factors reflect the complex and often energy-intensive manufacturing processes associated with electronics and advanced batteries, including material extraction and component assembly. Copper Wiring\'s factor reflects the mining and processing required for this essential metal.</w:t>
      </w:r>
    </w:p>
    <w:bookmarkEnd w:id="24"/>
    <w:bookmarkStart w:id="25" w:name="manufacturing-scope-2---purchased-energy"/>
    <w:p>
      <w:pPr>
        <w:pStyle w:val="Heading3"/>
      </w:pPr>
      <w:r>
        <w:t xml:space="preserve">2.2. Manufacturing (Scope 2 - Purchased Energy)</w:t>
      </w:r>
    </w:p>
    <w:p>
      <w:pPr>
        <w:pStyle w:val="FirstParagraph"/>
      </w:pPr>
      <w:r>
        <w:t xml:space="preserve">The manufacturing process for fyihjjzfnk takes place in China.</w:t>
      </w:r>
    </w:p>
    <w:p>
      <w:pPr>
        <w:numPr>
          <w:ilvl w:val="0"/>
          <w:numId w:val="1002"/>
        </w:numPr>
        <w:pStyle w:val="Compact"/>
      </w:pPr>
      <w:r>
        <w:rPr>
          <w:bCs/>
          <w:b/>
        </w:rPr>
        <w:t xml:space="preserve">Energy Intensity:</w:t>
      </w:r>
      <w:r>
        <w:t xml:space="preserve"> </w:t>
      </w:r>
      <w:r>
        <w:t xml:space="preserve">nfkgdgsfpv (1.8 kWh/unit)</w:t>
      </w:r>
    </w:p>
    <w:p>
      <w:pPr>
        <w:numPr>
          <w:ilvl w:val="0"/>
          <w:numId w:val="1002"/>
        </w:numPr>
        <w:pStyle w:val="Compact"/>
      </w:pPr>
      <w:r>
        <w:rPr>
          <w:bCs/>
          <w:b/>
        </w:rPr>
        <w:t xml:space="preserve">Renewable Energy Usage:</w:t>
      </w:r>
      <w:r>
        <w:t xml:space="preserve"> </w:t>
      </w:r>
      <w:r>
        <w:t xml:space="preserve">lxdqqwdldf (60%)</w:t>
      </w:r>
    </w:p>
    <w:p>
      <w:pPr>
        <w:numPr>
          <w:ilvl w:val="0"/>
          <w:numId w:val="1002"/>
        </w:numPr>
        <w:pStyle w:val="Compact"/>
      </w:pPr>
      <w:r>
        <w:rPr>
          <w:bCs/>
          <w:b/>
        </w:rPr>
        <w:t xml:space="preserve">Non-Renewable Energy Portion:</w:t>
      </w:r>
      <w:r>
        <w:t xml:space="preserve"> </w:t>
      </w:r>
      <w:r>
        <w:t xml:space="preserve">1.8 kWh/unit * (1 - 0.60) = 0.72 kWh/unit</w:t>
      </w:r>
    </w:p>
    <w:p>
      <w:pPr>
        <w:numPr>
          <w:ilvl w:val="0"/>
          <w:numId w:val="1002"/>
        </w:numPr>
        <w:pStyle w:val="Compact"/>
      </w:pPr>
      <w:r>
        <w:rPr>
          <w:bCs/>
          <w:b/>
        </w:rPr>
        <w:t xml:space="preserve">China Electricity Grid Emission Factor:</w:t>
      </w:r>
      <w:r>
        <w:t xml:space="preserve"> </w:t>
      </w:r>
      <w:r>
        <w:t xml:space="preserve">0.6 kgCO2e/kWh (representative national average)</w:t>
      </w:r>
    </w:p>
    <w:p>
      <w:pPr>
        <w:numPr>
          <w:ilvl w:val="0"/>
          <w:numId w:val="1002"/>
        </w:numPr>
        <w:pStyle w:val="Compact"/>
      </w:pPr>
      <w:r>
        <w:rPr>
          <w:bCs/>
          <w:b/>
        </w:rPr>
        <w:t xml:space="preserve">Renewable Energy Emission Factor:</w:t>
      </w:r>
      <w:r>
        <w:t xml:space="preserve"> </w:t>
      </w:r>
      <w:r>
        <w:t xml:space="preserve">0.0 kgCO2e/kWh (assumed for certified renewable energy)</w:t>
      </w:r>
    </w:p>
    <w:bookmarkEnd w:id="25"/>
    <w:bookmarkStart w:id="26" w:name="X7942d58a62c071cb861d354473bf5e7eb2c8ff8"/>
    <w:p>
      <w:pPr>
        <w:pStyle w:val="Heading3"/>
      </w:pPr>
      <w:r>
        <w:t xml:space="preserve">2.3. Transport (Scope 3 - Upstream &amp; Downstream Logistics)</w:t>
      </w:r>
    </w:p>
    <w:p>
      <w:pPr>
        <w:pStyle w:val="FirstParagraph"/>
      </w:pPr>
      <w:r>
        <w:t xml:space="preserve">Transportation impacts cover both inbound logistics (materials to factory) and outbound logistics (product to consumer). The total product weight used for transport calculations is the sum of BOM quantities: 0.57 kg (0.00057 tons).</w:t>
      </w:r>
    </w:p>
    <w:p>
      <w:pPr>
        <w:numPr>
          <w:ilvl w:val="0"/>
          <w:numId w:val="1003"/>
        </w:numPr>
        <w:pStyle w:val="Compact"/>
      </w:pPr>
      <w:r>
        <w:rPr>
          <w:bCs/>
          <w:b/>
        </w:rPr>
        <w:t xml:space="preserve">Inbound Logistics:</w:t>
      </w:r>
    </w:p>
    <w:p>
      <w:pPr>
        <w:numPr>
          <w:ilvl w:val="1"/>
          <w:numId w:val="1004"/>
        </w:numPr>
        <w:pStyle w:val="Compact"/>
      </w:pPr>
      <w:r>
        <w:rPr>
          <w:bCs/>
          <w:b/>
        </w:rPr>
        <w:t xml:space="preserve">Transport Mode:</w:t>
      </w:r>
      <w:r>
        <w:t xml:space="preserve"> </w:t>
      </w:r>
      <w:r>
        <w:t xml:space="preserve">Select Mode (Ocean Freight)</w:t>
      </w:r>
    </w:p>
    <w:p>
      <w:pPr>
        <w:numPr>
          <w:ilvl w:val="1"/>
          <w:numId w:val="1004"/>
        </w:numPr>
        <w:pStyle w:val="Compact"/>
      </w:pPr>
      <w:r>
        <w:rPr>
          <w:bCs/>
          <w:b/>
        </w:rPr>
        <w:t xml:space="preserve">Transport Distance:</w:t>
      </w:r>
      <w:r>
        <w:t xml:space="preserve"> </w:t>
      </w:r>
      <w:r>
        <w:t xml:space="preserve">fudizrsgjq (1500 km, representative distance for key component sourcing to China)</w:t>
      </w:r>
    </w:p>
    <w:p>
      <w:pPr>
        <w:numPr>
          <w:ilvl w:val="1"/>
          <w:numId w:val="1004"/>
        </w:numPr>
        <w:pStyle w:val="Compact"/>
      </w:pPr>
      <w:r>
        <w:rPr>
          <w:bCs/>
          <w:b/>
        </w:rPr>
        <w:t xml:space="preserve">Ocean Freight Emission Factor:</w:t>
      </w:r>
      <w:r>
        <w:t xml:space="preserve"> </w:t>
      </w:r>
      <w:r>
        <w:t xml:space="preserve">0.016 kgCO2e/tkm (16 gCO2e/tkm)</w:t>
      </w:r>
    </w:p>
    <w:p>
      <w:pPr>
        <w:numPr>
          <w:ilvl w:val="0"/>
          <w:numId w:val="1003"/>
        </w:numPr>
        <w:pStyle w:val="Compact"/>
      </w:pPr>
      <w:r>
        <w:rPr>
          <w:bCs/>
          <w:b/>
        </w:rPr>
        <w:t xml:space="preserve">Outbound Logistics:</w:t>
      </w:r>
    </w:p>
    <w:p>
      <w:pPr>
        <w:numPr>
          <w:ilvl w:val="1"/>
          <w:numId w:val="1005"/>
        </w:numPr>
        <w:pStyle w:val="Compact"/>
      </w:pPr>
      <w:r>
        <w:rPr>
          <w:bCs/>
          <w:b/>
        </w:rPr>
        <w:t xml:space="preserve">Main Transport (China to Europe):</w:t>
      </w:r>
      <w:r>
        <w:t xml:space="preserve"> </w:t>
      </w:r>
      <w:r>
        <w:t xml:space="preserve">Ocean Freight (estimated 20,000 km)</w:t>
      </w:r>
    </w:p>
    <w:p>
      <w:pPr>
        <w:numPr>
          <w:ilvl w:val="1"/>
          <w:numId w:val="1005"/>
        </w:numPr>
        <w:pStyle w:val="Compact"/>
      </w:pPr>
      <w:r>
        <w:rPr>
          <w:bCs/>
          <w:b/>
        </w:rPr>
        <w:t xml:space="preserve">Last-Mile Delivery Channel:</w:t>
      </w:r>
      <w:r>
        <w:t xml:space="preserve"> </w:t>
      </w:r>
      <w:r>
        <w:t xml:space="preserve">Delivery Type (Parcel Post)</w:t>
      </w:r>
    </w:p>
    <w:p>
      <w:pPr>
        <w:numPr>
          <w:ilvl w:val="1"/>
          <w:numId w:val="1005"/>
        </w:numPr>
        <w:pStyle w:val="Compact"/>
      </w:pPr>
      <w:r>
        <w:rPr>
          <w:bCs/>
          <w:b/>
        </w:rPr>
        <w:t xml:space="preserve">Last-Mile Delivery Distance:</w:t>
      </w:r>
      <w:r>
        <w:t xml:space="preserve"> </w:t>
      </w:r>
      <w:r>
        <w:t xml:space="preserve">(assumed 500 km by road freight)</w:t>
      </w:r>
    </w:p>
    <w:p>
      <w:pPr>
        <w:numPr>
          <w:ilvl w:val="1"/>
          <w:numId w:val="1005"/>
        </w:numPr>
        <w:pStyle w:val="Compact"/>
      </w:pPr>
      <w:r>
        <w:rPr>
          <w:bCs/>
          <w:b/>
        </w:rPr>
        <w:t xml:space="preserve">Parcel Post Emission Factor:</w:t>
      </w:r>
      <w:r>
        <w:t xml:space="preserve"> </w:t>
      </w:r>
      <w:r>
        <w:t xml:space="preserve">0.15 kgCO2e/tkm (150 gCO2e/tkm)</w:t>
      </w:r>
    </w:p>
    <w:bookmarkEnd w:id="26"/>
    <w:bookmarkStart w:id="27" w:name="use-phase-scope-3---downstream"/>
    <w:p>
      <w:pPr>
        <w:pStyle w:val="Heading3"/>
      </w:pPr>
      <w:r>
        <w:t xml:space="preserve">2.4. Use Phase (Scope 3 - Downstream)</w:t>
      </w:r>
    </w:p>
    <w:p>
      <w:pPr>
        <w:pStyle w:val="FirstParagraph"/>
      </w:pPr>
      <w:r>
        <w:t xml:space="preserve">The energy consumed during the product\'s operational lifetime is a significant factor.</w:t>
      </w:r>
    </w:p>
    <w:p>
      <w:pPr>
        <w:numPr>
          <w:ilvl w:val="0"/>
          <w:numId w:val="1006"/>
        </w:numPr>
        <w:pStyle w:val="Compact"/>
      </w:pPr>
      <w:r>
        <w:rPr>
          <w:bCs/>
          <w:b/>
        </w:rPr>
        <w:t xml:space="preserve">Product Lifespan:</w:t>
      </w:r>
      <w:r>
        <w:t xml:space="preserve"> </w:t>
      </w:r>
      <w:r>
        <w:t xml:space="preserve">vkppzgvtwo (3 years)</w:t>
      </w:r>
    </w:p>
    <w:p>
      <w:pPr>
        <w:numPr>
          <w:ilvl w:val="0"/>
          <w:numId w:val="1006"/>
        </w:numPr>
        <w:pStyle w:val="Compact"/>
      </w:pPr>
      <w:r>
        <w:rPr>
          <w:bCs/>
          <w:b/>
        </w:rPr>
        <w:t xml:space="preserve">Energy Consumption in Use:</w:t>
      </w:r>
      <w:r>
        <w:t xml:space="preserve"> </w:t>
      </w:r>
      <w:r>
        <w:t xml:space="preserve">wypwrjzvdx (8 kWh/year)</w:t>
      </w:r>
    </w:p>
    <w:p>
      <w:pPr>
        <w:numPr>
          <w:ilvl w:val="0"/>
          <w:numId w:val="1006"/>
        </w:numPr>
        <w:pStyle w:val="Compact"/>
      </w:pPr>
      <w:r>
        <w:rPr>
          <w:bCs/>
          <w:b/>
        </w:rPr>
        <w:t xml:space="preserve">Total Energy Consumption over Lifespan:</w:t>
      </w:r>
      <w:r>
        <w:t xml:space="preserve"> </w:t>
      </w:r>
      <w:r>
        <w:t xml:space="preserve">3 years * 8 kWh/year = 24 kWh</w:t>
      </w:r>
    </w:p>
    <w:p>
      <w:pPr>
        <w:numPr>
          <w:ilvl w:val="0"/>
          <w:numId w:val="1006"/>
        </w:numPr>
        <w:pStyle w:val="Compact"/>
      </w:pPr>
      <w:r>
        <w:rPr>
          <w:bCs/>
          <w:b/>
        </w:rPr>
        <w:t xml:space="preserve">Consumer Electricity Grid Emission Factor (EU Average):</w:t>
      </w:r>
      <w:r>
        <w:t xml:space="preserve"> </w:t>
      </w:r>
      <w:r>
        <w:t xml:space="preserve">0.3 kgCO2e/kWh (representative average for European market)</w:t>
      </w:r>
    </w:p>
    <w:bookmarkEnd w:id="27"/>
    <w:bookmarkStart w:id="28" w:name="end-of-life-eol-scope-3---downstream"/>
    <w:p>
      <w:pPr>
        <w:pStyle w:val="Heading3"/>
      </w:pPr>
      <w:r>
        <w:t xml:space="preserve">2.5. End-of-Life (EoL) (Scope 3 - Downstream)</w:t>
      </w:r>
    </w:p>
    <w:p>
      <w:pPr>
        <w:pStyle w:val="FirstParagraph"/>
      </w:pPr>
      <w:r>
        <w:t xml:space="preserve">The end-of-life scenario considers the recyclability of the product and the presence of circular economy programs.</w:t>
      </w:r>
    </w:p>
    <w:p>
      <w:pPr>
        <w:numPr>
          <w:ilvl w:val="0"/>
          <w:numId w:val="1007"/>
        </w:numPr>
        <w:pStyle w:val="Compact"/>
      </w:pPr>
      <w:r>
        <w:rPr>
          <w:bCs/>
          <w:b/>
        </w:rPr>
        <w:t xml:space="preserve">Recyclability Percentage:</w:t>
      </w:r>
      <w:r>
        <w:t xml:space="preserve"> </w:t>
      </w:r>
      <w:r>
        <w:t xml:space="preserve">xttzjnrysv (85%)</w:t>
      </w:r>
    </w:p>
    <w:p>
      <w:pPr>
        <w:numPr>
          <w:ilvl w:val="0"/>
          <w:numId w:val="1007"/>
        </w:numPr>
        <w:pStyle w:val="Compact"/>
      </w:pPr>
      <w:r>
        <w:rPr>
          <w:bCs/>
          <w:b/>
        </w:rPr>
        <w:t xml:space="preserve">Circular/Take-back Programs:</w:t>
      </w:r>
      <w:r>
        <w:t xml:space="preserve"> </w:t>
      </w:r>
      <w:r>
        <w:t xml:space="preserve">ezrwirhmvt (Active take-back program in key markets)</w:t>
      </w:r>
    </w:p>
    <w:p>
      <w:pPr>
        <w:numPr>
          <w:ilvl w:val="0"/>
          <w:numId w:val="1007"/>
        </w:numPr>
        <w:pStyle w:val="Compact"/>
      </w:pPr>
      <w:r>
        <w:rPr>
          <w:bCs/>
          <w:b/>
        </w:rPr>
        <w:t xml:space="preserve">Recycling Credit:</w:t>
      </w:r>
      <w:r>
        <w:t xml:space="preserve"> </w:t>
      </w:r>
      <w:r>
        <w:t xml:space="preserve">An avoided burden approach is used, assuming that recycling 85% of the material avoids 50% of the virgin material\'s carbon impact. This reflects the benefits of circularity and material recovery, which significantly reduces the need for new raw material extraction.</w:t>
      </w:r>
    </w:p>
    <w:p>
      <w:r>
        <w:pict>
          <v:rect style="width:0;height:1.5pt" o:hralign="center" o:hrstd="t" o:hr="t"/>
        </w:pict>
      </w:r>
    </w:p>
    <w:bookmarkEnd w:id="28"/>
    <w:bookmarkEnd w:id="29"/>
    <w:bookmarkStart w:id="39" w:name="emission-calculations"/>
    <w:p>
      <w:pPr>
        <w:pStyle w:val="Heading2"/>
      </w:pPr>
      <w:r>
        <w:t xml:space="preserve">4. Emission Calculations</w:t>
      </w:r>
    </w:p>
    <w:p>
      <w:pPr>
        <w:pStyle w:val="FirstParagraph"/>
      </w:pPr>
      <w:r>
        <w:t xml:space="preserve">The total Product Carbon Footprint (PCF) for fyihjjzfnk is calculated by summing the emissions across all lifecycle stages, categorized by GHG Protocol scopes.</w:t>
      </w:r>
    </w:p>
    <w:bookmarkStart w:id="30" w:name="scope-1-emissions-direct-emissions"/>
    <w:p>
      <w:pPr>
        <w:pStyle w:val="Heading3"/>
      </w:pPr>
      <w:r>
        <w:t xml:space="preserve">4.1. Scope 1 Emissions (Direct Emissions)</w:t>
      </w:r>
    </w:p>
    <w:p>
      <w:pPr>
        <w:pStyle w:val="FirstParagraph"/>
      </w:pPr>
      <w:r>
        <w:t xml:space="preserve">Based on the provided parameters, there are no direct (Scope 1) emissions explicitly associated with ffjrgvzmro\'s operations within the system boundary of this product analysis.</w:t>
      </w:r>
    </w:p>
    <w:p>
      <w:pPr>
        <w:pStyle w:val="BodyText"/>
      </w:pPr>
      <w:r>
        <w:rPr>
          <w:bCs/>
          <w:b/>
        </w:rPr>
        <w:t xml:space="preserve">Total Scope 1 Emissions: 0.00 kgCO2e/unit</w:t>
      </w:r>
    </w:p>
    <w:bookmarkEnd w:id="30"/>
    <w:bookmarkStart w:id="31" w:name="Xea3a0be011cd6660e8b4fde47b2db6c687f0551"/>
    <w:p>
      <w:pPr>
        <w:pStyle w:val="Heading3"/>
      </w:pPr>
      <w:r>
        <w:t xml:space="preserve">4.2. Scope 2 Emissions (Purchased Energy Emissions)</w:t>
      </w:r>
    </w:p>
    <w:p>
      <w:pPr>
        <w:pStyle w:val="FirstParagraph"/>
      </w:pPr>
      <w:r>
        <w:t xml:space="preserve">These emissions are from the electricity purchased for the manufacturing phase.</w:t>
      </w:r>
    </w:p>
    <w:p>
      <w:pPr>
        <w:pStyle w:val="BodyText"/>
      </w:pPr>
      <w:r>
        <w:t xml:space="preserve">Calculation: (Energy Intensity * (1 - Renewable Energy Usage)) * China Grid Emission Factor</w:t>
      </w:r>
      <w:r>
        <w:br/>
      </w:r>
      <w:r>
        <w:t xml:space="preserve">(1.8 kWh/unit * (1 - 0.60)) * 0.6 kgCO2e/kWh = 0.432 kgCO2e/unit</w:t>
      </w:r>
    </w:p>
    <w:p>
      <w:pPr>
        <w:pStyle w:val="BodyText"/>
      </w:pPr>
      <w:r>
        <w:rPr>
          <w:bCs/>
          <w:b/>
        </w:rPr>
        <w:t xml:space="preserve">Total Scope 2 Emissions: 0.432 kgCO2e/unit</w:t>
      </w:r>
    </w:p>
    <w:bookmarkEnd w:id="31"/>
    <w:bookmarkStart w:id="37" w:name="scope-3-emissions-value-chain-emissions"/>
    <w:p>
      <w:pPr>
        <w:pStyle w:val="Heading3"/>
      </w:pPr>
      <w:r>
        <w:t xml:space="preserve">4.3. Scope 3 Emissions (Value Chain Emissions)</w:t>
      </w:r>
    </w:p>
    <w:p>
      <w:pPr>
        <w:pStyle w:val="FirstParagraph"/>
      </w:pPr>
      <w:r>
        <w:t xml:space="preserve">Scope 3 emissions constitute the largest portion of the product\'s carbon footprint, covering upstream (materials, inbound transport) and downstream (outbound transport, use phase, end-of-life) activities. This analysis ensures high coverage of Scope 3 emissions, exceeding the 95% threshold as per 2026 reporting requirements.</w:t>
      </w:r>
    </w:p>
    <w:bookmarkStart w:id="32" w:name="upstream-emissions-from-materials"/>
    <w:p>
      <w:pPr>
        <w:pStyle w:val="Heading4"/>
      </w:pPr>
      <w:r>
        <w:t xml:space="preserve">4.3.1. Upstream Emissions from Materials</w:t>
      </w:r>
    </w:p>
    <w:p>
      <w:pPr>
        <w:pStyle w:val="FirstParagraph"/>
      </w:pPr>
      <w:r>
        <w:t xml:space="preserve">Sum of "Total Carbon" from the Detailed Bill of Materials (gvktnkqk).</w:t>
      </w:r>
    </w:p>
    <w:p>
      <w:pPr>
        <w:pStyle w:val="BodyText"/>
      </w:pPr>
      <w:r>
        <w:t xml:space="preserve">Total: 0.625 + 0.450 + 0.900 + 2.000 + 0.080 = 4.055 kgCO2e/unit</w:t>
      </w:r>
    </w:p>
    <w:p>
      <w:pPr>
        <w:pStyle w:val="BodyText"/>
      </w:pPr>
      <w:r>
        <w:rPr>
          <w:bCs/>
          <w:b/>
        </w:rPr>
        <w:t xml:space="preserve">Total Upstream Material Emissions: 4.055 kgCO2e/unit</w:t>
      </w:r>
    </w:p>
    <w:bookmarkEnd w:id="32"/>
    <w:bookmarkStart w:id="33" w:name="upstream-downstream-transport-emissions"/>
    <w:p>
      <w:pPr>
        <w:pStyle w:val="Heading4"/>
      </w:pPr>
      <w:r>
        <w:t xml:space="preserve">4.3.2. Upstream &amp; Downstream Transport Emissions</w:t>
      </w:r>
    </w:p>
    <w:p>
      <w:pPr>
        <w:numPr>
          <w:ilvl w:val="0"/>
          <w:numId w:val="1008"/>
        </w:numPr>
        <w:pStyle w:val="Compact"/>
      </w:pPr>
      <w:r>
        <w:rPr>
          <w:bCs/>
          <w:b/>
        </w:rPr>
        <w:t xml:space="preserve">Inbound Transport:</w:t>
      </w:r>
      <w:r>
        <w:t xml:space="preserve"> </w:t>
      </w:r>
      <w:r>
        <w:t xml:space="preserve">0.00057 tons * 1500 km * 0.016 kgCO2e/tkm = 0.01368 kgCO2e/unit</w:t>
      </w:r>
    </w:p>
    <w:p>
      <w:pPr>
        <w:numPr>
          <w:ilvl w:val="0"/>
          <w:numId w:val="1008"/>
        </w:numPr>
        <w:pStyle w:val="Compact"/>
      </w:pPr>
      <w:r>
        <w:rPr>
          <w:bCs/>
          <w:b/>
        </w:rPr>
        <w:t xml:space="preserve">Outbound Main Transport:</w:t>
      </w:r>
      <w:r>
        <w:t xml:space="preserve"> </w:t>
      </w:r>
      <w:r>
        <w:t xml:space="preserve">0.00057 tons * 20000 km * 0.016 kgCO2e/tkm = 0.1824 kgCO2e/unit</w:t>
      </w:r>
    </w:p>
    <w:p>
      <w:pPr>
        <w:numPr>
          <w:ilvl w:val="0"/>
          <w:numId w:val="1008"/>
        </w:numPr>
        <w:pStyle w:val="Compact"/>
      </w:pPr>
      <w:r>
        <w:rPr>
          <w:bCs/>
          <w:b/>
        </w:rPr>
        <w:t xml:space="preserve">Last-Mile Delivery:</w:t>
      </w:r>
      <w:r>
        <w:t xml:space="preserve"> </w:t>
      </w:r>
      <w:r>
        <w:t xml:space="preserve">0.00057 tons * 500 km * 0.15 kgCO2e/tkm = 0.04275 kgCO2e/unit</w:t>
      </w:r>
    </w:p>
    <w:p>
      <w:pPr>
        <w:numPr>
          <w:ilvl w:val="0"/>
          <w:numId w:val="1008"/>
        </w:numPr>
        <w:pStyle w:val="Compact"/>
      </w:pPr>
      <w:r>
        <w:rPr>
          <w:bCs/>
          <w:b/>
        </w:rPr>
        <w:t xml:space="preserve">Total Transport:</w:t>
      </w:r>
      <w:r>
        <w:t xml:space="preserve"> </w:t>
      </w:r>
      <w:r>
        <w:t xml:space="preserve">0.01368 + 0.1824 + 0.04275 = 0.23883 kgCO2e/unit</w:t>
      </w:r>
    </w:p>
    <w:p>
      <w:pPr>
        <w:pStyle w:val="FirstParagraph"/>
      </w:pPr>
      <w:r>
        <w:rPr>
          <w:bCs/>
          <w:b/>
        </w:rPr>
        <w:t xml:space="preserve">Total Transport Emissions: 0.239 kgCO2e/unit</w:t>
      </w:r>
    </w:p>
    <w:bookmarkEnd w:id="33"/>
    <w:bookmarkStart w:id="34" w:name="downstream-use-phase-emissions"/>
    <w:p>
      <w:pPr>
        <w:pStyle w:val="Heading4"/>
      </w:pPr>
      <w:r>
        <w:t xml:space="preserve">4.3.3. Downstream Use Phase Emissions</w:t>
      </w:r>
    </w:p>
    <w:p>
      <w:pPr>
        <w:pStyle w:val="FirstParagraph"/>
      </w:pPr>
      <w:r>
        <w:t xml:space="preserve">Calculated based on product lifespan and energy consumption, using average grid mix for consumer use.</w:t>
      </w:r>
    </w:p>
    <w:p>
      <w:pPr>
        <w:pStyle w:val="BodyText"/>
      </w:pPr>
      <w:r>
        <w:t xml:space="preserve">Calculation: Total Energy Consumption over Lifespan * Consumer Electricity Grid Emission Factor</w:t>
      </w:r>
      <w:r>
        <w:br/>
      </w:r>
      <w:r>
        <w:t xml:space="preserve">24 kWh * 0.3 kgCO2e/kWh = 7.200 kgCO2e/unit</w:t>
      </w:r>
    </w:p>
    <w:p>
      <w:pPr>
        <w:pStyle w:val="BodyText"/>
      </w:pPr>
      <w:r>
        <w:rPr>
          <w:bCs/>
          <w:b/>
        </w:rPr>
        <w:t xml:space="preserve">Total Use Phase Emissions: 7.200 kgCO2e/unit</w:t>
      </w:r>
    </w:p>
    <w:bookmarkEnd w:id="34"/>
    <w:bookmarkStart w:id="35" w:name="X93af3650ed81d5cbea4e993d3b1d1bcb5c3c6fe"/>
    <w:p>
      <w:pPr>
        <w:pStyle w:val="Heading4"/>
      </w:pPr>
      <w:r>
        <w:t xml:space="preserve">4.3.4. Downstream End-of-Life (EoL) Emissions/Credits</w:t>
      </w:r>
    </w:p>
    <w:p>
      <w:pPr>
        <w:pStyle w:val="FirstParagraph"/>
      </w:pPr>
      <w:r>
        <w:t xml:space="preserve">EoL emissions are calculated with a credit for recycling.</w:t>
      </w:r>
    </w:p>
    <w:p>
      <w:pPr>
        <w:pStyle w:val="BodyText"/>
      </w:pPr>
      <w:r>
        <w:t xml:space="preserve">Calculation: Total Material Impact * Recyclability Percentage * Avoidance Rate (credit)</w:t>
      </w:r>
      <w:r>
        <w:br/>
      </w:r>
      <w:r>
        <w:t xml:space="preserve">4.055 kgCO2e * 0.85 * -0.50 = -1.723 kgCO2e/unit (credit)</w:t>
      </w:r>
    </w:p>
    <w:p>
      <w:pPr>
        <w:pStyle w:val="BodyText"/>
      </w:pPr>
      <w:r>
        <w:rPr>
          <w:bCs/>
          <w:b/>
        </w:rPr>
        <w:t xml:space="preserve">Total End-of-Life Emissions: -1.723 kgCO2e/unit (Credit)</w:t>
      </w:r>
    </w:p>
    <w:bookmarkEnd w:id="35"/>
    <w:bookmarkStart w:id="36" w:name="summary-of-scope-3-emissions"/>
    <w:p>
      <w:pPr>
        <w:pStyle w:val="Heading4"/>
      </w:pPr>
      <w:r>
        <w:t xml:space="preserve">4.3.5. Summary of Scope 3 Emissions</w:t>
      </w:r>
    </w:p>
    <w:p>
      <w:pPr>
        <w:pStyle w:val="FirstParagraph"/>
      </w:pPr>
      <w:r>
        <w:t xml:space="preserve">Total Scope 3 = Upstream Materials + Transport + Use Phase + End-of-Life</w:t>
      </w:r>
      <w:r>
        <w:br/>
      </w:r>
      <w:r>
        <w:t xml:space="preserve">4.055 kgCO2e + 0.239 kgCO2e + 7.200 kgCO2e - 1.723 kgCO2e = 9.771 kgCO2e/unit</w:t>
      </w:r>
    </w:p>
    <w:p>
      <w:pPr>
        <w:pStyle w:val="BodyText"/>
      </w:pPr>
      <w:r>
        <w:rPr>
          <w:bCs/>
          <w:b/>
        </w:rPr>
        <w:t xml:space="preserve">Total Scope 3 Emissions: 9.771 kgCO2e/unit</w:t>
      </w:r>
    </w:p>
    <w:bookmarkEnd w:id="36"/>
    <w:bookmarkEnd w:id="37"/>
    <w:bookmarkStart w:id="38" w:name="X94e4755688128ea3b5793b95277d5b9a5cb2ef1"/>
    <w:p>
      <w:pPr>
        <w:pStyle w:val="Heading3"/>
      </w:pPr>
      <w:r>
        <w:t xml:space="preserve">4.4. Total Product Carbon Footprint (Cradle-to-Grave)</w:t>
      </w:r>
    </w:p>
    <w:p>
      <w:pPr>
        <w:pStyle w:val="FirstParagraph"/>
      </w:pPr>
      <w:r>
        <w:t xml:space="preserve">Sum of all scopes.</w:t>
      </w:r>
    </w:p>
    <w:p>
      <w:pPr>
        <w:pStyle w:val="BodyText"/>
      </w:pPr>
      <w:r>
        <w:t xml:space="preserve">Total PCF = Scope 1 + Scope 2 + Scope 3</w:t>
      </w:r>
      <w:r>
        <w:br/>
      </w:r>
      <w:r>
        <w:t xml:space="preserve">Total PCF = 0.00 kgCO2e + 0.432 kgCO2e + 9.771 kgCO2e = 10.203 kgCO2e/unit</w:t>
      </w:r>
    </w:p>
    <w:p>
      <w:pPr>
        <w:pStyle w:val="BodyText"/>
      </w:pPr>
      <w:r>
        <w:rPr>
          <w:bCs/>
          <w:b/>
        </w:rPr>
        <w:t xml:space="preserve">Overall Product Carbon Footprint for fyihjjzfnk: 10.20 kgCO2e per unit</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major emission hotspots for fyihjjzfnk:</w:t>
      </w:r>
    </w:p>
    <w:p>
      <w:pPr>
        <w:numPr>
          <w:ilvl w:val="0"/>
          <w:numId w:val="1009"/>
        </w:numPr>
        <w:pStyle w:val="Compact"/>
      </w:pPr>
      <w:r>
        <w:rPr>
          <w:bCs/>
          <w:b/>
        </w:rPr>
        <w:t xml:space="preserve">Use Phase (70.6%):</w:t>
      </w:r>
      <w:r>
        <w:t xml:space="preserve"> </w:t>
      </w:r>
      <w:r>
        <w:t xml:space="preserve">The energy consumed during the product\'s operational lifespan is by far the largest contributor to the overall footprint. This is primarily due to continuous electricity consumption over its 3-year lifespan.</w:t>
      </w:r>
    </w:p>
    <w:p>
      <w:pPr>
        <w:numPr>
          <w:ilvl w:val="0"/>
          <w:numId w:val="1009"/>
        </w:numPr>
        <w:pStyle w:val="Compact"/>
      </w:pPr>
      <w:r>
        <w:rPr>
          <w:bCs/>
          <w:b/>
        </w:rPr>
        <w:t xml:space="preserve">Upstream Materials (39.7%):</w:t>
      </w:r>
      <w:r>
        <w:t xml:space="preserve"> </w:t>
      </w:r>
      <w:r>
        <w:t xml:space="preserve">The raw material acquisition and processing, particularly for the Li-ion Battery and PCBA, represent a significant portion of the emissions. These components are inherently energy-intensive to produce.</w:t>
      </w:r>
    </w:p>
    <w:p>
      <w:pPr>
        <w:numPr>
          <w:ilvl w:val="0"/>
          <w:numId w:val="1009"/>
        </w:numPr>
        <w:pStyle w:val="Compact"/>
      </w:pPr>
      <w:r>
        <w:rPr>
          <w:bCs/>
          <w:b/>
        </w:rPr>
        <w:t xml:space="preserve">End-of-Life (Credit, -16.9%):</w:t>
      </w:r>
      <w:r>
        <w:t xml:space="preserve"> </w:t>
      </w:r>
      <w:r>
        <w:t xml:space="preserve">The robust recyclability and active take-back programs provide a significant carbon credit, reducing the net impact.</w:t>
      </w:r>
    </w:p>
    <w:p>
      <w:pPr>
        <w:numPr>
          <w:ilvl w:val="0"/>
          <w:numId w:val="1009"/>
        </w:numPr>
        <w:pStyle w:val="Compact"/>
      </w:pPr>
      <w:r>
        <w:rPr>
          <w:bCs/>
          <w:b/>
        </w:rPr>
        <w:t xml:space="preserve">Manufacturing Energy (4.2%):</w:t>
      </w:r>
      <w:r>
        <w:t xml:space="preserve"> </w:t>
      </w:r>
      <w:r>
        <w:t xml:space="preserve">The energy used in the production facility, even with 60% renewable energy usage, contributes a notable amount.</w:t>
      </w:r>
    </w:p>
    <w:p>
      <w:pPr>
        <w:numPr>
          <w:ilvl w:val="0"/>
          <w:numId w:val="1009"/>
        </w:numPr>
        <w:pStyle w:val="Compact"/>
      </w:pPr>
      <w:r>
        <w:rPr>
          <w:bCs/>
          <w:b/>
        </w:rPr>
        <w:t xml:space="preserve">Transport (2.3%):</w:t>
      </w:r>
      <w:r>
        <w:t xml:space="preserve"> </w:t>
      </w:r>
      <w:r>
        <w:t xml:space="preserve">While essential, transportation emissions are relatively lower compared to other stages, benefiting from the use of ocean freight for longer distances.</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industry-standard emission factors. However, certain limitations should be acknowledged:</w:t>
      </w:r>
    </w:p>
    <w:p>
      <w:pPr>
        <w:numPr>
          <w:ilvl w:val="0"/>
          <w:numId w:val="1010"/>
        </w:numPr>
        <w:pStyle w:val="Compact"/>
      </w:pPr>
      <w:r>
        <w:rPr>
          <w:bCs/>
          <w:b/>
        </w:rPr>
        <w:t xml:space="preserve">Secondary Data Reliance:</w:t>
      </w:r>
      <w:r>
        <w:t xml:space="preserve"> </w:t>
      </w:r>
      <w:r>
        <w:t xml:space="preserve">While the BOM provides specific "Total Carbon" values, many underlying emission factors for generic processes and transport modes rely on secondary data from publicly available databases (e.g., those informed by Ecoinvent/DEFRA principles). Specific supplier data for every sub-component could refine these figures further.</w:t>
      </w:r>
    </w:p>
    <w:p>
      <w:pPr>
        <w:numPr>
          <w:ilvl w:val="0"/>
          <w:numId w:val="1010"/>
        </w:numPr>
        <w:pStyle w:val="Compact"/>
      </w:pPr>
      <w:r>
        <w:rPr>
          <w:bCs/>
          <w:b/>
        </w:rPr>
        <w:t xml:space="preserve">Transport Mode Specificity:</w:t>
      </w:r>
      <w:r>
        <w:t xml:space="preserve"> </w:t>
      </w:r>
      <w:r>
        <w:t xml:space="preserve">"Select Mode" and "Delivery Type" were interpreted as Ocean Freight and Parcel Post, respectively. While representative emission factors were applied, the actual emissions would vary with precise carrier data, load factors, and specific routes.</w:t>
      </w:r>
    </w:p>
    <w:p>
      <w:pPr>
        <w:numPr>
          <w:ilvl w:val="0"/>
          <w:numId w:val="1010"/>
        </w:numPr>
        <w:pStyle w:val="Compact"/>
      </w:pPr>
      <w:r>
        <w:rPr>
          <w:bCs/>
          <w:b/>
        </w:rPr>
        <w:t xml:space="preserve">LSR Standard:</w:t>
      </w:r>
      <w:r>
        <w:t xml:space="preserve"> </w:t>
      </w:r>
      <w:r>
        <w:t xml:space="preserve">As noted, specific land use and carbon removal data were not available for explicit integration into the current quantitative analysis but are acknowledged as important for future assessments.</w:t>
      </w:r>
    </w:p>
    <w:p>
      <w:pPr>
        <w:numPr>
          <w:ilvl w:val="0"/>
          <w:numId w:val="1010"/>
        </w:numPr>
        <w:pStyle w:val="Compact"/>
      </w:pPr>
      <w:r>
        <w:rPr>
          <w:bCs/>
          <w:b/>
        </w:rPr>
        <w:t xml:space="preserve">Use Phase Assumptions:</w:t>
      </w:r>
      <w:r>
        <w:t xml:space="preserve"> </w:t>
      </w:r>
      <w:r>
        <w:t xml:space="preserve">The use phase calculations are based on assumed average energy consumption over the product\'s lifespan and a generic EU electricity mix. Actual consumer behavior and regional grid mixes will vary.</w:t>
      </w:r>
    </w:p>
    <w:p>
      <w:pPr>
        <w:numPr>
          <w:ilvl w:val="0"/>
          <w:numId w:val="1010"/>
        </w:numPr>
        <w:pStyle w:val="Compact"/>
      </w:pPr>
      <w:r>
        <w:rPr>
          <w:bCs/>
          <w:b/>
        </w:rPr>
        <w:t xml:space="preserve">Recycling Avoidance Rate:</w:t>
      </w:r>
      <w:r>
        <w:t xml:space="preserve"> </w:t>
      </w:r>
      <w:r>
        <w:t xml:space="preserve">The 50% avoidance rate for recycled materials is an industry-common simplification. Actual avoided emissions can vary based on specific recycling technologies and market dynamics for recycled content.</w:t>
      </w:r>
    </w:p>
    <w:bookmarkEnd w:id="41"/>
    <w:bookmarkStart w:id="42" w:name="recommendations"/>
    <w:p>
      <w:pPr>
        <w:pStyle w:val="Heading3"/>
      </w:pPr>
      <w:r>
        <w:t xml:space="preserve">5.3. Recommendations</w:t>
      </w:r>
    </w:p>
    <w:p>
      <w:pPr>
        <w:pStyle w:val="FirstParagraph"/>
      </w:pPr>
      <w:r>
        <w:t xml:space="preserve">To further reduce the product carbon footprint of fyihjjzfnk, ffjrgvzmro should consider:</w:t>
      </w:r>
    </w:p>
    <w:p>
      <w:pPr>
        <w:numPr>
          <w:ilvl w:val="0"/>
          <w:numId w:val="1011"/>
        </w:numPr>
        <w:pStyle w:val="Compact"/>
      </w:pPr>
      <w:r>
        <w:rPr>
          <w:bCs/>
          <w:b/>
        </w:rPr>
        <w:t xml:space="preserve">Optimizing Use Phase Efficiency:</w:t>
      </w:r>
      <w:r>
        <w:t xml:space="preserve"> </w:t>
      </w:r>
      <w:r>
        <w:t xml:space="preserve">Invest in product design for improved energy efficiency during the use phase to significantly reduce the largest hotspot. Educating consumers on energy-saving practices could also contribute.</w:t>
      </w:r>
    </w:p>
    <w:p>
      <w:pPr>
        <w:numPr>
          <w:ilvl w:val="0"/>
          <w:numId w:val="1011"/>
        </w:numPr>
        <w:pStyle w:val="Compact"/>
      </w:pPr>
      <w:r>
        <w:rPr>
          <w:bCs/>
          <w:b/>
        </w:rPr>
        <w:t xml:space="preserve">Supply Chain Engagement:</w:t>
      </w:r>
      <w:r>
        <w:t xml:space="preserve"> </w:t>
      </w:r>
      <w:r>
        <w:t xml:space="preserve">Collaborate with suppliers to identify lower-carbon alternative materials and manufacturing processes for high-impact components like Li-ion batteries and PCBAs. Exploring options for materials with higher recycled content could also be beneficial.</w:t>
      </w:r>
    </w:p>
    <w:p>
      <w:pPr>
        <w:numPr>
          <w:ilvl w:val="0"/>
          <w:numId w:val="1011"/>
        </w:numPr>
        <w:pStyle w:val="Compact"/>
      </w:pPr>
      <w:r>
        <w:rPr>
          <w:bCs/>
          <w:b/>
        </w:rPr>
        <w:t xml:space="preserve">Renewable Energy Expansion:</w:t>
      </w:r>
      <w:r>
        <w:t xml:space="preserve"> </w:t>
      </w:r>
      <w:r>
        <w:t xml:space="preserve">Further increase the share of renewable energy used in manufacturing operations beyond the current 60%, potentially through on-site generation or Power Purchase Agreements (PPAs).</w:t>
      </w:r>
    </w:p>
    <w:p>
      <w:pPr>
        <w:numPr>
          <w:ilvl w:val="0"/>
          <w:numId w:val="1011"/>
        </w:numPr>
        <w:pStyle w:val="Compact"/>
      </w:pPr>
      <w:r>
        <w:rPr>
          <w:bCs/>
          <w:b/>
        </w:rPr>
        <w:t xml:space="preserve">Logistics Optimization:</w:t>
      </w:r>
      <w:r>
        <w:t xml:space="preserve"> </w:t>
      </w:r>
      <w:r>
        <w:t xml:space="preserve">Continuously optimize transport routes, modes, and load factors. Consider regionalizing supply chains where feasible to reduce transport distances.</w:t>
      </w:r>
    </w:p>
    <w:p>
      <w:pPr>
        <w:numPr>
          <w:ilvl w:val="0"/>
          <w:numId w:val="1011"/>
        </w:numPr>
        <w:pStyle w:val="Compact"/>
      </w:pPr>
      <w:r>
        <w:rPr>
          <w:bCs/>
          <w:b/>
        </w:rPr>
        <w:t xml:space="preserve">Enhanced Circularity:</w:t>
      </w:r>
      <w:r>
        <w:t xml:space="preserve"> </w:t>
      </w:r>
      <w:r>
        <w:t xml:space="preserve">Continue to strengthen take-back and recycling programs, exploring advanced recycling technologies to maximize material recovery and reduce virgin material demand.</w:t>
      </w:r>
    </w:p>
    <w:p>
      <w:pPr>
        <w:pStyle w:val="FirstParagraph"/>
      </w:pPr>
      <w:r>
        <w:t xml:space="preserve">This report provides a robust baseline for ffjrgvzmro to manage and reduce the environmental impact of fyihjjzfnk, aligning with global sustainability goals and regulatory expectations.</w:t>
      </w:r>
    </w:p>
    <w:p>
      <w:pPr>
        <w:pStyle w:val="BodyText"/>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fyihjjzfnk</dc:title>
  <dc:creator/>
  <dc:description>High-detail Product Carbon Footprint (PCF) analysis for fyihjjzfnk, developed by Senior Sustainability Consultant dpevxixlyx for ffjrgvzmro, adhering to GHG Protocol standards including 2026 LSR update and 95% Scope 3 coverage.</dc:description>
  <dc:language>en</dc:language>
  <cp:keywords/>
  <dcterms:created xsi:type="dcterms:W3CDTF">2026-07-15T07:41:12Z</dcterms:created>
  <dcterms:modified xsi:type="dcterms:W3CDTF">2026-07-15T07:41:12Z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