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fxzgvtreid</w:t>
      </w:r>
    </w:p>
    <w:p>
      <w:pPr>
        <w:pStyle w:val="FirstParagraph"/>
      </w:pPr>
      <w:r>
        <w:t xml:space="preserve">carboncalcpcf.com</w:t>
      </w:r>
    </w:p>
    <w:bookmarkStart w:id="21" w:name="product-carbon-footprint-report"/>
    <w:p>
      <w:pPr>
        <w:pStyle w:val="Heading1"/>
      </w:pPr>
      <w:r>
        <w:t xml:space="preserve">Product Carbon Footprint Report</w:t>
      </w:r>
    </w:p>
    <w:bookmarkStart w:id="20" w:name="for-fxzgvtreid"/>
    <w:p>
      <w:pPr>
        <w:pStyle w:val="Heading2"/>
      </w:pPr>
      <w:r>
        <w:t xml:space="preserve">For: fxzgvtreid</w:t>
      </w:r>
    </w:p>
    <w:p>
      <w:pPr>
        <w:pStyle w:val="FirstParagraph"/>
      </w:pPr>
      <w:r>
        <w:rPr>
          <w:bCs/>
          <w:b/>
        </w:rPr>
        <w:t xml:space="preserve">Company Name:</w:t>
      </w:r>
      <w:r>
        <w:t xml:space="preserve"> </w:t>
      </w:r>
      <w:r>
        <w:t xml:space="preserve">hoqnotozpn</w:t>
      </w:r>
    </w:p>
    <w:p>
      <w:pPr>
        <w:pStyle w:val="BodyText"/>
      </w:pPr>
      <w:r>
        <w:rPr>
          <w:bCs/>
          <w:b/>
        </w:rPr>
        <w:t xml:space="preserve">Senior Sustainability Consultant:</w:t>
      </w:r>
      <w:r>
        <w:t xml:space="preserve"> </w:t>
      </w:r>
      <w:r>
        <w:t xml:space="preserve">zvgpyoqxkf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conditions and data limitations may influence the results.</w:t>
      </w:r>
    </w:p>
    <w:bookmarkEnd w:id="20"/>
    <w:bookmarkEnd w:id="21"/>
    <w:bookmarkStart w:id="42" w:name="X88d38d626eaf934ce1f68fcffd1705fcf1a14e8"/>
    <w:p>
      <w:pPr>
        <w:pStyle w:val="Heading1"/>
      </w:pPr>
      <w:r>
        <w:t xml:space="preserve">Product Carbon Footprint Report: fxzgvtreid</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zvgpyoqxkf</w:t>
      </w:r>
    </w:p>
    <w:p>
      <w:pPr>
        <w:pStyle w:val="BodyText"/>
      </w:pPr>
      <w:r>
        <w:t xml:space="preserve">This report details a high-detail Product Carbon Footprint (PCF) analysis for the product fxzgvtreid, manufactured by hoqnotozpn. The analysis has been conducted in accordance with the Greenhouse Gas (GHG) Protocol, a globally recognized standard for measuring and managing GHG emissions. This assessment categorizes emissions into Scope 1 (direct), Scope 2 (purchased energy), and Scope 3 (value chain) to provide a comprehensive understanding of the product\'s environmental impact across its lifecycle. The 2026 Land Sector and Removals (LSR) Standard is also acknowledged as per the latest requirements.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detailed assessment of the greenhouse gas emissions associated with fxzgvtreid throughout its lifecycle. The total estimated carbon footprint for one functional unit of fxzgvtreid is approximately 44.61 kg CO2e. The use phase of the product represents the most significant hotspot, primarily due to energy consumption during its lifespan. Efforts in material selection, renewable energy integration in manufacturing, and robust end-of-life programs contribute to mitigating environmental impacts. This report highlights key emission sources and offers insights for strategic sustainability improvements for hoqnotozpn.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 PCF analysis involves defining the scope, functional unit, system boundaries, geographic scope, and allocation principles.</w:t>
      </w:r>
    </w:p>
    <w:p>
      <w:pPr>
        <w:numPr>
          <w:ilvl w:val="0"/>
          <w:numId w:val="1001"/>
        </w:numPr>
        <w:pStyle w:val="Compact"/>
      </w:pPr>
      <w:r>
        <w:rPr>
          <w:bCs/>
          <w:b/>
        </w:rPr>
        <w:t xml:space="preserve">Functional Unit:</w:t>
      </w:r>
      <w:r>
        <w:t xml:space="preserve"> </w:t>
      </w:r>
      <w:r>
        <w:t xml:space="preserve">1.0 unit of fxzgvtreid.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"cradle-to-gate" plus downstream (use and end-of-life) approach includes raw material extraction, manufacturing processes up to the factory gate, product distribution, product use,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2, and 3.</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is not applicable for this single-product analysis.</w:t>
      </w:r>
    </w:p>
    <w:p>
      <w:r>
        <w:pict>
          <v:rect style="width:0;height:1.5pt" o:hralign="center" o:hrstd="t" o:hr="t"/>
        </w:pict>
      </w:r>
    </w:p>
    <w:bookmarkEnd w:id="23"/>
    <w:bookmarkStart w:id="29" w:name="Xa775986e34f6c9d43a343ee29c5265a42c4b7a8"/>
    <w:p>
      <w:pPr>
        <w:pStyle w:val="Heading2"/>
      </w:pPr>
      <w:r>
        <w:t xml:space="preserve">2. &amp; 3. Lifecycle Mapping &amp; Data Collection (Detailed Breakdown)</w:t>
      </w:r>
    </w:p>
    <w:p>
      <w:pPr>
        <w:pStyle w:val="FirstParagraph"/>
      </w:pPr>
      <w:r>
        <w:t xml:space="preserve">This section details the lifecycle stages and the primary and secondary data points collected for the analysis, covering materials, production energy, transport, and end-of-life scenarios. The Bill of Materials (BOM) for fxzgvtreid, provided as `sojnlhon`, has been used for high-accuracy material impact calculation.</w:t>
      </w:r>
    </w:p>
    <w:bookmarkStart w:id="24" w:name="Xe4d59a35da87309f4364aa429af02d5009b6259"/>
    <w:p>
      <w:pPr>
        <w:pStyle w:val="Heading3"/>
      </w:pPr>
      <w:r>
        <w:t xml:space="preserve">Detailed Bill of Materials (BOM) - sojnlhon</w:t>
      </w:r>
    </w:p>
    <w:p>
      <w:pPr>
        <w:pStyle w:val="FirstParagraph"/>
      </w:pPr>
      <w:r>
        <w:t xml:space="preserve">The following table presents the detailed Bill of Materials used for calculating the upstream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(Assumed)</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Virgin Steel Sheet</w:t>
            </w:r>
          </w:p>
        </w:tc>
        <w:tc>
          <w:tcPr/>
          <w:p>
            <w:pPr>
              <w:pStyle w:val="Compact"/>
              <w:jc w:val="left"/>
            </w:pPr>
            <w:r>
              <w:t xml:space="preserve">Metal</w:t>
            </w:r>
          </w:p>
        </w:tc>
        <w:tc>
          <w:tcPr/>
          <w:p>
            <w:pPr>
              <w:pStyle w:val="Compact"/>
              <w:jc w:val="left"/>
            </w:pPr>
            <w:r>
              <w:t xml:space="preserve">Basic Oxygen Furnace</w:t>
            </w:r>
          </w:p>
        </w:tc>
        <w:tc>
          <w:tcPr/>
          <w:p>
            <w:pPr>
              <w:pStyle w:val="Compact"/>
              <w:jc w:val="left"/>
            </w:pPr>
            <w:r>
              <w:t xml:space="preserve">0.8</w:t>
            </w:r>
          </w:p>
        </w:tc>
        <w:tc>
          <w:tcPr/>
          <w:p>
            <w:pPr>
              <w:pStyle w:val="Compact"/>
              <w:jc w:val="left"/>
            </w:pPr>
            <w:r>
              <w:t xml:space="preserve">kg</w:t>
            </w:r>
          </w:p>
        </w:tc>
        <w:tc>
          <w:tcPr/>
          <w:p>
            <w:pPr>
              <w:pStyle w:val="Compact"/>
              <w:jc w:val="left"/>
            </w:pPr>
            <w:r>
              <w:t xml:space="preserve">2.2 kgCO2e/kg</w:t>
            </w:r>
          </w:p>
        </w:tc>
        <w:tc>
          <w:tcPr/>
          <w:p>
            <w:pPr>
              <w:pStyle w:val="Compact"/>
              <w:jc w:val="left"/>
            </w:pPr>
            <w:r>
              <w:t xml:space="preserve">1.76</w:t>
            </w:r>
          </w:p>
        </w:tc>
      </w:tr>
      <w:tr>
        <w:tc>
          <w:tcPr/>
          <w:p>
            <w:pPr>
              <w:pStyle w:val="Compact"/>
              <w:jc w:val="left"/>
            </w:pPr>
            <w:r>
              <w:t xml:space="preserve">MAT002</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Secondary Smelting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 kgCO2e/kg</w:t>
            </w:r>
          </w:p>
        </w:tc>
        <w:tc>
          <w:tcPr/>
          <w:p>
            <w:pPr>
              <w:pStyle w:val="Compact"/>
              <w:jc w:val="left"/>
            </w:pPr>
            <w:r>
              <w:t xml:space="preserve">0.10</w:t>
            </w:r>
          </w:p>
        </w:tc>
      </w:tr>
      <w:tr>
        <w:tc>
          <w:tcPr/>
          <w:p>
            <w:pPr>
              <w:pStyle w:val="Compact"/>
              <w:jc w:val="left"/>
            </w:pPr>
            <w:r>
              <w:t xml:space="preserve">MAT003</w:t>
            </w:r>
          </w:p>
        </w:tc>
        <w:tc>
          <w:tcPr/>
          <w:p>
            <w:pPr>
              <w:pStyle w:val="Compact"/>
              <w:jc w:val="left"/>
            </w:pPr>
            <w:r>
              <w:t xml:space="preserve">High-Density Polyethylene (HDPE)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 kgCO2e/kg</w:t>
            </w:r>
          </w:p>
        </w:tc>
        <w:tc>
          <w:tcPr/>
          <w:p>
            <w:pPr>
              <w:pStyle w:val="Compact"/>
              <w:jc w:val="left"/>
            </w:pPr>
            <w:r>
              <w:t xml:space="preserve">0.54</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 kgCO2e/unit</w:t>
            </w:r>
          </w:p>
        </w:tc>
        <w:tc>
          <w:tcPr/>
          <w:p>
            <w:pPr>
              <w:pStyle w:val="Compact"/>
              <w:jc w:val="left"/>
            </w:pPr>
            <w:r>
              <w:t xml:space="preserve">0.25</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0.64</w:t>
            </w:r>
          </w:p>
        </w:tc>
      </w:tr>
      <w:tr>
        <w:tc>
          <w:tcPr/>
          <w:p>
            <w:pPr>
              <w:pStyle w:val="Compact"/>
              <w:jc w:val="left"/>
            </w:pPr>
            <w:r>
              <w:t xml:space="preserve">MAT006</w:t>
            </w:r>
          </w:p>
        </w:tc>
        <w:tc>
          <w:tcPr/>
          <w:p>
            <w:pPr>
              <w:pStyle w:val="Compact"/>
              <w:jc w:val="left"/>
            </w:pPr>
            <w:r>
              <w:t xml:space="preserve">Glass Panel</w:t>
            </w:r>
          </w:p>
        </w:tc>
        <w:tc>
          <w:tcPr/>
          <w:p>
            <w:pPr>
              <w:pStyle w:val="Compact"/>
              <w:jc w:val="left"/>
            </w:pPr>
            <w:r>
              <w:t xml:space="preserve">Glass</w:t>
            </w:r>
          </w:p>
        </w:tc>
        <w:tc>
          <w:tcPr/>
          <w:p>
            <w:pPr>
              <w:pStyle w:val="Compact"/>
              <w:jc w:val="left"/>
            </w:pPr>
            <w:r>
              <w:t xml:space="preserve">Float Glass Process</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0.15</w:t>
            </w:r>
          </w:p>
        </w:tc>
      </w:tr>
      <w:tr>
        <w:tc>
          <w:tcPr/>
          <w:p>
            <w:pPr>
              <w:pStyle w:val="Compact"/>
              <w:jc w:val="left"/>
            </w:pPr>
            <w:r>
              <w:t xml:space="preserve">MAT007</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Chemical Synthesis</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0.08</w:t>
            </w:r>
          </w:p>
        </w:tc>
      </w:tr>
      <w:tr>
        <w:tc>
          <w:tcPr>
            <w:gridSpan w:val="7"/>
          </w:tcPr>
          <w:p>
            <w:pPr>
              <w:pStyle w:val="Compact"/>
              <w:jc w:val="right"/>
            </w:pPr>
            <w:r>
              <w:rPr>
                <w:bCs/>
                <w:b/>
              </w:rPr>
              <w:t xml:space="preserve">Total Material Carbon (kg CO2e):</w:t>
            </w:r>
          </w:p>
        </w:tc>
        <w:tc>
          <w:tcPr/>
          <w:p>
            <w:pPr>
              <w:pStyle w:val="Compact"/>
              <w:jc w:val="left"/>
            </w:pPr>
            <w:r>
              <w:rPr>
                <w:bCs/>
                <w:b/>
              </w:rPr>
              <w:t xml:space="preserve">3.52</w:t>
            </w:r>
          </w:p>
        </w:tc>
      </w:tr>
    </w:tbl>
    <w:bookmarkEnd w:id="24"/>
    <w:bookmarkStart w:id="25" w:name="energy-inputs-for-production"/>
    <w:p>
      <w:pPr>
        <w:pStyle w:val="Heading3"/>
      </w:pPr>
      <w:r>
        <w:t xml:space="preserve">Energy Inputs for Production</w:t>
      </w:r>
    </w:p>
    <w:p>
      <w:pPr>
        <w:numPr>
          <w:ilvl w:val="0"/>
          <w:numId w:val="1003"/>
        </w:numPr>
        <w:pStyle w:val="Compact"/>
      </w:pPr>
      <w:r>
        <w:rPr>
          <w:bCs/>
          <w:b/>
        </w:rPr>
        <w:t xml:space="preserve">Energy Intensity (kWh/unit):</w:t>
      </w:r>
      <w:r>
        <w:t xml:space="preserve"> </w:t>
      </w:r>
      <w:r>
        <w:t xml:space="preserve">eviyglsivg (e.g., 10 kWh/unit)</w:t>
      </w:r>
    </w:p>
    <w:p>
      <w:pPr>
        <w:numPr>
          <w:ilvl w:val="0"/>
          <w:numId w:val="1003"/>
        </w:numPr>
        <w:pStyle w:val="Compact"/>
      </w:pPr>
      <w:r>
        <w:rPr>
          <w:bCs/>
          <w:b/>
        </w:rPr>
        <w:t xml:space="preserve">Renewable Energy Usage:</w:t>
      </w:r>
      <w:r>
        <w:t xml:space="preserve"> </w:t>
      </w:r>
      <w:r>
        <w:t xml:space="preserve">wqwkwspyep (e.g., 50%) - This percentage of the energy consumed in production is assumed to be from certified renewable sources, resulting in zero Scope 2 emissions for that portion. The remaining percentage uses the local grid mix.</w:t>
      </w:r>
    </w:p>
    <w:bookmarkEnd w:id="25"/>
    <w:bookmarkStart w:id="26" w:name="logistics-data"/>
    <w:p>
      <w:pPr>
        <w:pStyle w:val="Heading3"/>
      </w:pPr>
      <w:r>
        <w:t xml:space="preserve">Logistics Data</w:t>
      </w:r>
    </w:p>
    <w:p>
      <w:pPr>
        <w:numPr>
          <w:ilvl w:val="0"/>
          <w:numId w:val="1004"/>
        </w:numPr>
        <w:pStyle w:val="Compact"/>
      </w:pPr>
      <w:r>
        <w:rPr>
          <w:bCs/>
          <w:b/>
        </w:rPr>
        <w:t xml:space="preserve">Transport Mode (Primary):</w:t>
      </w:r>
      <w:r>
        <w:t xml:space="preserve"> </w:t>
      </w:r>
      <w:r>
        <w:t xml:space="preserve">Select Mode (assumed to be Sea Freight for China to Europe leg).</w:t>
      </w:r>
    </w:p>
    <w:p>
      <w:pPr>
        <w:numPr>
          <w:ilvl w:val="0"/>
          <w:numId w:val="1004"/>
        </w:numPr>
        <w:pStyle w:val="Compact"/>
      </w:pPr>
      <w:r>
        <w:rPr>
          <w:bCs/>
          <w:b/>
        </w:rPr>
        <w:t xml:space="preserve">Transport Mode (Last-Mile):</w:t>
      </w:r>
      <w:r>
        <w:t xml:space="preserve"> </w:t>
      </w:r>
      <w:r>
        <w:t xml:space="preserve">Delivery Type (assumed to be Road Freight within Europe).</w:t>
      </w:r>
    </w:p>
    <w:p>
      <w:pPr>
        <w:numPr>
          <w:ilvl w:val="0"/>
          <w:numId w:val="1004"/>
        </w:numPr>
        <w:pStyle w:val="Compact"/>
      </w:pPr>
      <w:r>
        <w:rPr>
          <w:bCs/>
          <w:b/>
        </w:rPr>
        <w:t xml:space="preserve">Transport Distance:</w:t>
      </w:r>
      <w:r>
        <w:t xml:space="preserve"> </w:t>
      </w:r>
      <w:r>
        <w:t xml:space="preserve">hrqryjxqqj (assumed as 15,000 km for sea freight and 500 km for last-mile road freight for calculations). The product weight for transport calculations is assumed to be 1 kg.</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oveqeqgyrt (e.g., 5 years).</w:t>
      </w:r>
    </w:p>
    <w:p>
      <w:pPr>
        <w:numPr>
          <w:ilvl w:val="0"/>
          <w:numId w:val="1005"/>
        </w:numPr>
        <w:pStyle w:val="Compact"/>
      </w:pPr>
      <w:r>
        <w:rPr>
          <w:bCs/>
          <w:b/>
        </w:rPr>
        <w:t xml:space="preserve">Energy Consumption in Use:</w:t>
      </w:r>
      <w:r>
        <w:t xml:space="preserve"> </w:t>
      </w:r>
      <w:r>
        <w:t xml:space="preserve">rsiwoeluyj (e.g., 20 kWh/year). This is assumed to be annual consumption, multiplied by the product lifespan for total use phase energy.</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dmqkvfrjmq (e.g., 70%). This represents the percentage of the product\'s material that is technically recyclable.</w:t>
      </w:r>
    </w:p>
    <w:p>
      <w:pPr>
        <w:numPr>
          <w:ilvl w:val="0"/>
          <w:numId w:val="1006"/>
        </w:numPr>
        <w:pStyle w:val="Compact"/>
      </w:pPr>
      <w:r>
        <w:rPr>
          <w:bCs/>
          <w:b/>
        </w:rPr>
        <w:t xml:space="preserve">Circular/Take-back Programs:</w:t>
      </w:r>
      <w:r>
        <w:t xml:space="preserve"> </w:t>
      </w:r>
      <w:r>
        <w:t xml:space="preserve">fiqhroshns (e.g., "Advanced take-back program with high material recovery rates for metals and plastics."). This indicates active programs designed to recapture materials and reduce waste, contributing to circular economy impacts.</w:t>
      </w:r>
    </w:p>
    <w:p>
      <w:r>
        <w:pict>
          <v:rect style="width:0;height:1.5pt" o:hralign="center" o:hrstd="t" o:hr="t"/>
        </w:pict>
      </w:r>
    </w:p>
    <w:bookmarkEnd w:id="28"/>
    <w:bookmarkEnd w:id="29"/>
    <w:bookmarkStart w:id="36" w:name="emissions-calculation"/>
    <w:p>
      <w:pPr>
        <w:pStyle w:val="Heading2"/>
      </w:pPr>
      <w:r>
        <w:t xml:space="preserve">4. Emissions Calculation</w:t>
      </w:r>
    </w:p>
    <w:p>
      <w:pPr>
        <w:pStyle w:val="FirstParagraph"/>
      </w:pPr>
      <w:r>
        <w:t xml:space="preserve">Emissions are calculated using the activity data collected and applying industry-standard emission factors (e.g., from Ecoinvent/DEFRA equivalents).</w:t>
      </w:r>
    </w:p>
    <w:bookmarkStart w:id="30" w:name="emission-factors-used"/>
    <w:p>
      <w:pPr>
        <w:pStyle w:val="Heading3"/>
      </w:pPr>
      <w:r>
        <w:t xml:space="preserve">Emission Factors Used:</w:t>
      </w:r>
    </w:p>
    <w:p>
      <w:pPr>
        <w:numPr>
          <w:ilvl w:val="0"/>
          <w:numId w:val="1007"/>
        </w:numPr>
        <w:pStyle w:val="Compact"/>
      </w:pPr>
      <w:r>
        <w:rPr>
          <w:bCs/>
          <w:b/>
        </w:rPr>
        <w:t xml:space="preserve">China Electricity Grid Emission Factor:</w:t>
      </w:r>
      <w:r>
        <w:t xml:space="preserve"> </w:t>
      </w:r>
      <w:r>
        <w:t xml:space="preserve">0.5568 kg CO2e/kWh (for 2021, Ministry of Ecology and Environment, China).</w:t>
      </w:r>
    </w:p>
    <w:p>
      <w:pPr>
        <w:numPr>
          <w:ilvl w:val="0"/>
          <w:numId w:val="1007"/>
        </w:numPr>
        <w:pStyle w:val="Compact"/>
      </w:pPr>
      <w:r>
        <w:rPr>
          <w:bCs/>
          <w:b/>
        </w:rPr>
        <w:t xml:space="preserve">Sea Freight Emission Factor (Container Ship):</w:t>
      </w:r>
      <w:r>
        <w:t xml:space="preserve"> </w:t>
      </w:r>
      <w:r>
        <w:t xml:space="preserve">0.016142 kg CO2e/tonne-km (UK BEIS/Defra 2021 equivalent).</w:t>
      </w:r>
    </w:p>
    <w:p>
      <w:pPr>
        <w:numPr>
          <w:ilvl w:val="0"/>
          <w:numId w:val="1007"/>
        </w:numPr>
        <w:pStyle w:val="Compact"/>
      </w:pPr>
      <w:r>
        <w:rPr>
          <w:bCs/>
          <w:b/>
        </w:rPr>
        <w:t xml:space="preserve">Road Freight Emission Factor (Average):</w:t>
      </w:r>
      <w:r>
        <w:t xml:space="preserve"> </w:t>
      </w:r>
      <w:r>
        <w:t xml:space="preserve">0.069 kg CO2e/tonne-km (GLEC 2019 equivalent).</w:t>
      </w:r>
    </w:p>
    <w:p>
      <w:pPr>
        <w:numPr>
          <w:ilvl w:val="0"/>
          <w:numId w:val="1007"/>
        </w:numPr>
        <w:pStyle w:val="Compact"/>
      </w:pPr>
      <w:r>
        <w:rPr>
          <w:bCs/>
          <w:b/>
        </w:rPr>
        <w:t xml:space="preserve">General Electricity Grid Emission Factor (Use Phase):</w:t>
      </w:r>
      <w:r>
        <w:t xml:space="preserve"> </w:t>
      </w:r>
      <w:r>
        <w:t xml:space="preserve">0.4 kg CO2e/kWh (Assumed representative global/European average for product use).</w:t>
      </w:r>
    </w:p>
    <w:bookmarkEnd w:id="30"/>
    <w:bookmarkStart w:id="34" w:name="X8ce3a6b17ec0bfe53a621d03567f0f3572a943b"/>
    <w:p>
      <w:pPr>
        <w:pStyle w:val="Heading3"/>
      </w:pPr>
      <w:r>
        <w:t xml:space="preserve">GHG Emissions by Scope and Lifecycle Stage:</w:t>
      </w:r>
    </w:p>
    <w:bookmarkStart w:id="31" w:name="scope-1-direct-emissions"/>
    <w:p>
      <w:pPr>
        <w:pStyle w:val="Heading4"/>
      </w:pPr>
      <w:r>
        <w:t xml:space="preserve">Scope 1: Direct Emissions</w:t>
      </w:r>
    </w:p>
    <w:p>
      <w:pPr>
        <w:pStyle w:val="FirstParagraph"/>
      </w:pPr>
      <w:r>
        <w:t xml:space="preserve">Based on the provided parameters, no direct fossil fuel combustion or process emissions from hoqnotozpn\'s operations are explicitly accounted for as Scope 1 emissions in this product-level analysis. All manufacturing energy is considered purchased electricity (Scope 2).</w:t>
      </w:r>
    </w:p>
    <w:p>
      <w:pPr>
        <w:numPr>
          <w:ilvl w:val="0"/>
          <w:numId w:val="1008"/>
        </w:numPr>
        <w:pStyle w:val="Compact"/>
      </w:pPr>
      <w:r>
        <w:rPr>
          <w:bCs/>
          <w:b/>
        </w:rPr>
        <w:t xml:space="preserve">Total Scope 1 Emissions:</w:t>
      </w:r>
      <w:r>
        <w:t xml:space="preserve"> </w:t>
      </w:r>
      <w:r>
        <w:t xml:space="preserve">0.00 kg CO2e</w:t>
      </w:r>
    </w:p>
    <w:bookmarkEnd w:id="31"/>
    <w:bookmarkStart w:id="32" w:name="scope-2-purchased-energy-emissions"/>
    <w:p>
      <w:pPr>
        <w:pStyle w:val="Heading4"/>
      </w:pPr>
      <w:r>
        <w:t xml:space="preserve">Scope 2: Purchased Energy Emissions</w:t>
      </w:r>
    </w:p>
    <w:p>
      <w:pPr>
        <w:pStyle w:val="FirstParagraph"/>
      </w:pPr>
      <w:r>
        <w:t xml:space="preserve">This category covers emissions from the generation of purchased electricity consumed during the product\'s manufacturing phase in China.</w:t>
      </w:r>
    </w:p>
    <w:p>
      <w:pPr>
        <w:numPr>
          <w:ilvl w:val="0"/>
          <w:numId w:val="1009"/>
        </w:numPr>
        <w:pStyle w:val="Compact"/>
      </w:pPr>
      <w:r>
        <w:rPr>
          <w:bCs/>
          <w:b/>
        </w:rPr>
        <w:t xml:space="preserve">Energy Intensity:</w:t>
      </w:r>
      <w:r>
        <w:t xml:space="preserve"> </w:t>
      </w:r>
      <w:r>
        <w:t xml:space="preserve">eviyglsivg = 10 kWh/unit</w:t>
      </w:r>
    </w:p>
    <w:p>
      <w:pPr>
        <w:numPr>
          <w:ilvl w:val="0"/>
          <w:numId w:val="1009"/>
        </w:numPr>
        <w:pStyle w:val="Compact"/>
      </w:pPr>
      <w:r>
        <w:rPr>
          <w:bCs/>
          <w:b/>
        </w:rPr>
        <w:t xml:space="preserve">Renewable Energy Usage:</w:t>
      </w:r>
      <w:r>
        <w:t xml:space="preserve"> </w:t>
      </w:r>
      <w:r>
        <w:t xml:space="preserve">wqwkwspyep = 50%</w:t>
      </w:r>
    </w:p>
    <w:p>
      <w:pPr>
        <w:numPr>
          <w:ilvl w:val="0"/>
          <w:numId w:val="1009"/>
        </w:numPr>
        <w:pStyle w:val="Compact"/>
      </w:pPr>
      <w:r>
        <w:rPr>
          <w:bCs/>
          <w:b/>
        </w:rPr>
        <w:t xml:space="preserve">Non-Renewable Electricity Consumed:</w:t>
      </w:r>
      <w:r>
        <w:t xml:space="preserve"> </w:t>
      </w:r>
      <w:r>
        <w:t xml:space="preserve">10 kWh/unit * (1 - 0.50) = 5 kWh/unit</w:t>
      </w:r>
    </w:p>
    <w:p>
      <w:pPr>
        <w:numPr>
          <w:ilvl w:val="0"/>
          <w:numId w:val="1009"/>
        </w:numPr>
        <w:pStyle w:val="Compact"/>
      </w:pPr>
      <w:r>
        <w:rPr>
          <w:bCs/>
          <w:b/>
        </w:rPr>
        <w:t xml:space="preserve">China Grid Emission Factor:</w:t>
      </w:r>
      <w:r>
        <w:t xml:space="preserve"> </w:t>
      </w:r>
      <w:r>
        <w:t xml:space="preserve">0.5568 kg CO2e/kWh</w:t>
      </w:r>
    </w:p>
    <w:p>
      <w:pPr>
        <w:numPr>
          <w:ilvl w:val="0"/>
          <w:numId w:val="1009"/>
        </w:numPr>
        <w:pStyle w:val="Compact"/>
      </w:pPr>
      <w:r>
        <w:rPr>
          <w:bCs/>
          <w:b/>
        </w:rPr>
        <w:t xml:space="preserve">Calculation:</w:t>
      </w:r>
      <w:r>
        <w:t xml:space="preserve"> </w:t>
      </w:r>
      <w:r>
        <w:t xml:space="preserve">5 kWh/unit * 0.5568 kg CO2e/kWh = 2.784 kg CO2e</w:t>
      </w:r>
    </w:p>
    <w:p>
      <w:pPr>
        <w:numPr>
          <w:ilvl w:val="0"/>
          <w:numId w:val="1009"/>
        </w:numPr>
        <w:pStyle w:val="Compact"/>
      </w:pPr>
      <w:r>
        <w:rPr>
          <w:bCs/>
          <w:b/>
        </w:rPr>
        <w:t xml:space="preserve">Total Scope 2 Emissions:</w:t>
      </w:r>
      <w:r>
        <w:t xml:space="preserve"> </w:t>
      </w:r>
      <w:r>
        <w:t xml:space="preserve">2.784 kg CO2e</w:t>
      </w:r>
    </w:p>
    <w:bookmarkEnd w:id="32"/>
    <w:bookmarkStart w:id="33" w:name="scope-3-value-chain-emissions"/>
    <w:p>
      <w:pPr>
        <w:pStyle w:val="Heading4"/>
      </w:pPr>
      <w:r>
        <w:t xml:space="preserve">Scope 3: Value Chain Emissions</w:t>
      </w:r>
    </w:p>
    <w:p>
      <w:pPr>
        <w:pStyle w:val="FirstParagraph"/>
      </w:pPr>
      <w:r>
        <w:t xml:space="preserve">This category encompasses emissions from upstream and downstream activities not owned or controlled by hoqnotozpn, but related to the product\'s lifecycle.</w:t>
      </w:r>
    </w:p>
    <w:p>
      <w:pPr>
        <w:numPr>
          <w:ilvl w:val="0"/>
          <w:numId w:val="1010"/>
        </w:numPr>
        <w:pStyle w:val="Compact"/>
      </w:pPr>
      <w:r>
        <w:rPr>
          <w:bCs/>
          <w:b/>
        </w:rPr>
        <w:t xml:space="preserve">Category 1: Purchased Goods and Services (Materials)</w:t>
      </w:r>
    </w:p>
    <w:p>
      <w:pPr>
        <w:numPr>
          <w:ilvl w:val="1"/>
          <w:numId w:val="1011"/>
        </w:numPr>
        <w:pStyle w:val="Compact"/>
      </w:pPr>
      <w:r>
        <w:rPr>
          <w:bCs/>
          <w:b/>
        </w:rPr>
        <w:t xml:space="preserve">Total Carbon from BOM (sojnlhon):</w:t>
      </w:r>
      <w:r>
        <w:t xml:space="preserve"> </w:t>
      </w:r>
      <w:r>
        <w:t xml:space="preserve">3.52 kg CO2e</w:t>
      </w:r>
    </w:p>
    <w:p>
      <w:pPr>
        <w:numPr>
          <w:ilvl w:val="1"/>
          <w:numId w:val="1011"/>
        </w:numPr>
        <w:pStyle w:val="Compact"/>
      </w:pPr>
      <w:r>
        <w:rPr>
          <w:bCs/>
          <w:b/>
        </w:rPr>
        <w:t xml:space="preserve">Total Emissions:</w:t>
      </w:r>
      <w:r>
        <w:t xml:space="preserve"> </w:t>
      </w:r>
      <w:r>
        <w:t xml:space="preserve">3.52 kg CO2e</w:t>
      </w:r>
    </w:p>
    <w:p>
      <w:pPr>
        <w:numPr>
          <w:ilvl w:val="0"/>
          <w:numId w:val="1010"/>
        </w:numPr>
        <w:pStyle w:val="Compact"/>
      </w:pPr>
      <w:r>
        <w:rPr>
          <w:bCs/>
          <w:b/>
        </w:rPr>
        <w:t xml:space="preserve">Category 9: Downstream Transportation and Distribution (Finished Product)</w:t>
      </w:r>
    </w:p>
    <w:p>
      <w:pPr>
        <w:numPr>
          <w:ilvl w:val="1"/>
          <w:numId w:val="1012"/>
        </w:numPr>
        <w:pStyle w:val="Compact"/>
      </w:pPr>
      <w:r>
        <w:rPr>
          <w:bCs/>
          <w:b/>
        </w:rPr>
        <w:t xml:space="preserve">Product Weight (Assumed):</w:t>
      </w:r>
      <w:r>
        <w:t xml:space="preserve"> </w:t>
      </w:r>
      <w:r>
        <w:t xml:space="preserve">1 kg = 0.001 tonne</w:t>
      </w:r>
    </w:p>
    <w:p>
      <w:pPr>
        <w:numPr>
          <w:ilvl w:val="1"/>
          <w:numId w:val="1012"/>
        </w:numPr>
        <w:pStyle w:val="Compact"/>
      </w:pPr>
      <w:r>
        <w:rPr>
          <w:bCs/>
          <w:b/>
        </w:rPr>
        <w:t xml:space="preserve">Primary Transport (Sea Freight - China to Europe):</w:t>
      </w:r>
    </w:p>
    <w:p>
      <w:pPr>
        <w:numPr>
          <w:ilvl w:val="2"/>
          <w:numId w:val="1013"/>
        </w:numPr>
        <w:pStyle w:val="Compact"/>
      </w:pPr>
      <w:r>
        <w:rPr>
          <w:bCs/>
          <w:b/>
        </w:rPr>
        <w:t xml:space="preserve">Distance:</w:t>
      </w:r>
      <w:r>
        <w:t xml:space="preserve"> </w:t>
      </w:r>
      <w:r>
        <w:t xml:space="preserve">hrqryjxqqj = 15,000 km (Assumed)</w:t>
      </w:r>
    </w:p>
    <w:p>
      <w:pPr>
        <w:numPr>
          <w:ilvl w:val="2"/>
          <w:numId w:val="1013"/>
        </w:numPr>
        <w:pStyle w:val="Compact"/>
      </w:pPr>
      <w:r>
        <w:rPr>
          <w:bCs/>
          <w:b/>
        </w:rPr>
        <w:t xml:space="preserve">Emission Factor:</w:t>
      </w:r>
      <w:r>
        <w:t xml:space="preserve"> </w:t>
      </w:r>
      <w:r>
        <w:t xml:space="preserve">0.016142 kg CO2e/tonne-km</w:t>
      </w:r>
    </w:p>
    <w:p>
      <w:pPr>
        <w:numPr>
          <w:ilvl w:val="2"/>
          <w:numId w:val="1013"/>
        </w:numPr>
        <w:pStyle w:val="Compact"/>
      </w:pPr>
      <w:r>
        <w:rPr>
          <w:bCs/>
          <w:b/>
        </w:rPr>
        <w:t xml:space="preserve">Calculation:</w:t>
      </w:r>
      <w:r>
        <w:t xml:space="preserve"> </w:t>
      </w:r>
      <w:r>
        <w:t xml:space="preserve">0.001 tonne * 15,000 km * 0.016142 kg CO2e/tonne-km = 0.24213 kg CO2e</w:t>
      </w:r>
    </w:p>
    <w:p>
      <w:pPr>
        <w:numPr>
          <w:ilvl w:val="1"/>
          <w:numId w:val="1012"/>
        </w:numPr>
        <w:pStyle w:val="Compact"/>
      </w:pPr>
      <w:r>
        <w:rPr>
          <w:bCs/>
          <w:b/>
        </w:rPr>
        <w:t xml:space="preserve">Last-Mile Delivery (Road Freight - within Europe):</w:t>
      </w:r>
    </w:p>
    <w:p>
      <w:pPr>
        <w:numPr>
          <w:ilvl w:val="2"/>
          <w:numId w:val="1014"/>
        </w:numPr>
        <w:pStyle w:val="Compact"/>
      </w:pPr>
      <w:r>
        <w:rPr>
          <w:bCs/>
          <w:b/>
        </w:rPr>
        <w:t xml:space="preserve">Distance:</w:t>
      </w:r>
      <w:r>
        <w:t xml:space="preserve"> </w:t>
      </w:r>
      <w:r>
        <w:t xml:space="preserve">500 km (Assumed)</w:t>
      </w:r>
    </w:p>
    <w:p>
      <w:pPr>
        <w:numPr>
          <w:ilvl w:val="2"/>
          <w:numId w:val="1014"/>
        </w:numPr>
        <w:pStyle w:val="Compact"/>
      </w:pPr>
      <w:r>
        <w:rPr>
          <w:bCs/>
          <w:b/>
        </w:rPr>
        <w:t xml:space="preserve">Emission Factor:</w:t>
      </w:r>
      <w:r>
        <w:t xml:space="preserve"> </w:t>
      </w:r>
      <w:r>
        <w:t xml:space="preserve">0.069 kg CO2e/tonne-km</w:t>
      </w:r>
    </w:p>
    <w:p>
      <w:pPr>
        <w:numPr>
          <w:ilvl w:val="2"/>
          <w:numId w:val="1014"/>
        </w:numPr>
        <w:pStyle w:val="Compact"/>
      </w:pPr>
      <w:r>
        <w:rPr>
          <w:bCs/>
          <w:b/>
        </w:rPr>
        <w:t xml:space="preserve">Calculation:</w:t>
      </w:r>
      <w:r>
        <w:t xml:space="preserve"> </w:t>
      </w:r>
      <w:r>
        <w:t xml:space="preserve">0.001 tonne * 500 km * 0.069 kg CO2e/tonne-km = 0.0345 kg CO2e</w:t>
      </w:r>
    </w:p>
    <w:p>
      <w:pPr>
        <w:numPr>
          <w:ilvl w:val="1"/>
          <w:numId w:val="1012"/>
        </w:numPr>
        <w:pStyle w:val="Compact"/>
      </w:pPr>
      <w:r>
        <w:rPr>
          <w:bCs/>
          <w:b/>
        </w:rPr>
        <w:t xml:space="preserve">Total Emissions:</w:t>
      </w:r>
      <w:r>
        <w:t xml:space="preserve"> </w:t>
      </w:r>
      <w:r>
        <w:t xml:space="preserve">0.24213 kg CO2e + 0.0345 kg CO2e = 0.27663 kg CO2e</w:t>
      </w:r>
    </w:p>
    <w:p>
      <w:pPr>
        <w:numPr>
          <w:ilvl w:val="0"/>
          <w:numId w:val="1010"/>
        </w:numPr>
        <w:pStyle w:val="Compact"/>
      </w:pPr>
      <w:r>
        <w:rPr>
          <w:bCs/>
          <w:b/>
        </w:rPr>
        <w:t xml:space="preserve">Category 11: Use of Sold Products</w:t>
      </w:r>
    </w:p>
    <w:p>
      <w:pPr>
        <w:numPr>
          <w:ilvl w:val="1"/>
          <w:numId w:val="1015"/>
        </w:numPr>
        <w:pStyle w:val="Compact"/>
      </w:pPr>
      <w:r>
        <w:rPr>
          <w:bCs/>
          <w:b/>
        </w:rPr>
        <w:t xml:space="preserve">Product Lifespan:</w:t>
      </w:r>
      <w:r>
        <w:t xml:space="preserve"> </w:t>
      </w:r>
      <w:r>
        <w:t xml:space="preserve">oveqeqgyrt = 5 years</w:t>
      </w:r>
    </w:p>
    <w:p>
      <w:pPr>
        <w:numPr>
          <w:ilvl w:val="1"/>
          <w:numId w:val="1015"/>
        </w:numPr>
        <w:pStyle w:val="Compact"/>
      </w:pPr>
      <w:r>
        <w:rPr>
          <w:bCs/>
          <w:b/>
        </w:rPr>
        <w:t xml:space="preserve">Annual Energy Consumption:</w:t>
      </w:r>
      <w:r>
        <w:t xml:space="preserve"> </w:t>
      </w:r>
      <w:r>
        <w:t xml:space="preserve">rsiwoeluyj = 20 kWh/year</w:t>
      </w:r>
    </w:p>
    <w:p>
      <w:pPr>
        <w:numPr>
          <w:ilvl w:val="1"/>
          <w:numId w:val="1015"/>
        </w:numPr>
        <w:pStyle w:val="Compact"/>
      </w:pPr>
      <w:r>
        <w:rPr>
          <w:bCs/>
          <w:b/>
        </w:rPr>
        <w:t xml:space="preserve">Total Energy Consumption:</w:t>
      </w:r>
      <w:r>
        <w:t xml:space="preserve"> </w:t>
      </w:r>
      <w:r>
        <w:t xml:space="preserve">20 kWh/year * 5 years = 100 kWh</w:t>
      </w:r>
    </w:p>
    <w:p>
      <w:pPr>
        <w:numPr>
          <w:ilvl w:val="1"/>
          <w:numId w:val="1015"/>
        </w:numPr>
        <w:pStyle w:val="Compact"/>
      </w:pPr>
      <w:r>
        <w:rPr>
          <w:bCs/>
          <w:b/>
        </w:rPr>
        <w:t xml:space="preserve">Use Phase Electricity Emission Factor:</w:t>
      </w:r>
      <w:r>
        <w:t xml:space="preserve"> </w:t>
      </w:r>
      <w:r>
        <w:t xml:space="preserve">0.4 kg CO2e/kWh (Assumed)</w:t>
      </w:r>
    </w:p>
    <w:p>
      <w:pPr>
        <w:numPr>
          <w:ilvl w:val="1"/>
          <w:numId w:val="1015"/>
        </w:numPr>
        <w:pStyle w:val="Compact"/>
      </w:pPr>
      <w:r>
        <w:rPr>
          <w:bCs/>
          <w:b/>
        </w:rPr>
        <w:t xml:space="preserve">Calculation:</w:t>
      </w:r>
      <w:r>
        <w:t xml:space="preserve"> </w:t>
      </w:r>
      <w:r>
        <w:t xml:space="preserve">100 kWh * 0.4 kg CO2e/kWh = 40.00 kg CO2e</w:t>
      </w:r>
    </w:p>
    <w:p>
      <w:pPr>
        <w:numPr>
          <w:ilvl w:val="1"/>
          <w:numId w:val="1015"/>
        </w:numPr>
        <w:pStyle w:val="Compact"/>
      </w:pPr>
      <w:r>
        <w:rPr>
          <w:bCs/>
          <w:b/>
        </w:rPr>
        <w:t xml:space="preserve">Total Emissions:</w:t>
      </w:r>
      <w:r>
        <w:t xml:space="preserve"> </w:t>
      </w:r>
      <w:r>
        <w:t xml:space="preserve">40.00 kg CO2e</w:t>
      </w:r>
    </w:p>
    <w:p>
      <w:pPr>
        <w:numPr>
          <w:ilvl w:val="0"/>
          <w:numId w:val="1010"/>
        </w:numPr>
      </w:pPr>
      <w:r>
        <w:rPr>
          <w:bCs/>
          <w:b/>
        </w:rPr>
        <w:t xml:space="preserve">Category 12: End-of-Life Treatment of Sold Products</w:t>
      </w:r>
    </w:p>
    <w:p>
      <w:pPr>
        <w:numPr>
          <w:ilvl w:val="0"/>
          <w:numId w:val="1000"/>
        </w:numPr>
      </w:pPr>
      <w:r>
        <w:t xml:space="preserve">Emissions and credits from end-of-life scenarios, reflecting recyclability and circular economy programs. A credit is applied for avoided virgin material production due to recycling.</w:t>
      </w:r>
    </w:p>
    <w:p>
      <w:pPr>
        <w:numPr>
          <w:ilvl w:val="1"/>
          <w:numId w:val="1016"/>
        </w:numPr>
        <w:pStyle w:val="Compact"/>
      </w:pPr>
      <w:r>
        <w:rPr>
          <w:bCs/>
          <w:b/>
        </w:rPr>
        <w:t xml:space="preserve">Recyclability Percentage:</w:t>
      </w:r>
      <w:r>
        <w:t xml:space="preserve"> </w:t>
      </w:r>
      <w:r>
        <w:t xml:space="preserve">dmqkvfrjmq = 70%</w:t>
      </w:r>
    </w:p>
    <w:p>
      <w:pPr>
        <w:numPr>
          <w:ilvl w:val="1"/>
          <w:numId w:val="1016"/>
        </w:numPr>
        <w:pStyle w:val="Compact"/>
      </w:pPr>
      <w:r>
        <w:rPr>
          <w:bCs/>
          <w:b/>
        </w:rPr>
        <w:t xml:space="preserve">Circular Programs:</w:t>
      </w:r>
      <w:r>
        <w:t xml:space="preserve"> </w:t>
      </w:r>
      <w:r>
        <w:t xml:space="preserve">fiqhroshns (Advanced take-back program)</w:t>
      </w:r>
    </w:p>
    <w:p>
      <w:pPr>
        <w:numPr>
          <w:ilvl w:val="1"/>
          <w:numId w:val="1016"/>
        </w:numPr>
        <w:pStyle w:val="Compact"/>
      </w:pPr>
      <w:r>
        <w:rPr>
          <w:bCs/>
          <w:b/>
        </w:rPr>
        <w:t xml:space="preserve">Total Material Carbon (for credit basis):</w:t>
      </w:r>
      <w:r>
        <w:t xml:space="preserve"> </w:t>
      </w:r>
      <w:r>
        <w:t xml:space="preserve">3.52 kg CO2e</w:t>
      </w:r>
    </w:p>
    <w:p>
      <w:pPr>
        <w:numPr>
          <w:ilvl w:val="1"/>
          <w:numId w:val="1016"/>
        </w:numPr>
        <w:pStyle w:val="Compact"/>
      </w:pPr>
      <w:r>
        <w:rPr>
          <w:bCs/>
          <w:b/>
        </w:rPr>
        <w:t xml:space="preserve">Avoided Burden Factor for Recycling:</w:t>
      </w:r>
      <w:r>
        <w:t xml:space="preserve"> </w:t>
      </w:r>
      <w:r>
        <w:t xml:space="preserve">0.8 (Assumed, representing avoided virgin material emissions)</w:t>
      </w:r>
    </w:p>
    <w:p>
      <w:pPr>
        <w:numPr>
          <w:ilvl w:val="1"/>
          <w:numId w:val="1016"/>
        </w:numPr>
        <w:pStyle w:val="Compact"/>
      </w:pPr>
      <w:r>
        <w:rPr>
          <w:bCs/>
          <w:b/>
        </w:rPr>
        <w:t xml:space="preserve">Calculation:</w:t>
      </w:r>
      <w:r>
        <w:t xml:space="preserve"> </w:t>
      </w:r>
      <w:r>
        <w:t xml:space="preserve">-3.52 kg CO2e * 0.70 * 0.8 = -1.9712 kg CO2e (Credit)</w:t>
      </w:r>
    </w:p>
    <w:p>
      <w:pPr>
        <w:numPr>
          <w:ilvl w:val="1"/>
          <w:numId w:val="1016"/>
        </w:numPr>
        <w:pStyle w:val="Compact"/>
      </w:pPr>
      <w:r>
        <w:rPr>
          <w:bCs/>
          <w:b/>
        </w:rPr>
        <w:t xml:space="preserve">Total Emissions/Credits:</w:t>
      </w:r>
      <w:r>
        <w:t xml:space="preserve"> </w:t>
      </w:r>
      <w:r>
        <w:t xml:space="preserve">-1.9712 kg CO2e</w:t>
      </w:r>
    </w:p>
    <w:p>
      <w:pPr>
        <w:numPr>
          <w:ilvl w:val="0"/>
          <w:numId w:val="1010"/>
        </w:numPr>
        <w:pStyle w:val="Compact"/>
      </w:pPr>
      <w:r>
        <w:rPr>
          <w:bCs/>
          <w:b/>
        </w:rPr>
        <w:t xml:space="preserve">Other Scope 3 Categories:</w:t>
      </w:r>
      <w:r>
        <w:t xml:space="preserve"> </w:t>
      </w:r>
      <w:r>
        <w:t xml:space="preserve">Based on the defined system boundary (factory_gate plus downstream) and available data, other Scope 3 categories such as business travel, employee commuting, or waste from operations are not included in this product-specific PCF.</w:t>
      </w:r>
    </w:p>
    <w:bookmarkEnd w:id="33"/>
    <w:bookmarkEnd w:id="34"/>
    <w:bookmarkStart w:id="35"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2.784</w:t>
            </w:r>
          </w:p>
        </w:tc>
      </w:tr>
      <w:tr>
        <w:tc>
          <w:tcPr>
            <w:gridSpan w:val="3"/>
          </w:tcPr>
          <w:p>
            <w:pPr>
              <w:pStyle w:val="Compact"/>
              <w:jc w:val="left"/>
            </w:pPr>
            <w:r>
              <w:rPr>
                <w:bCs/>
                <w:b/>
              </w:rPr>
              <w:t xml:space="preserve">Scope 3: Value Chain Emissions</w:t>
            </w:r>
          </w:p>
        </w:tc>
      </w:tr>
      <w:tr>
        <w:tc>
          <w:tcPr/>
          <w:p>
            <w:pPr>
              <w:pStyle w:val="Compact"/>
            </w:pPr>
          </w:p>
        </w:tc>
        <w:tc>
          <w:tcPr/>
          <w:p>
            <w:pPr>
              <w:pStyle w:val="Compact"/>
              <w:jc w:val="left"/>
            </w:pPr>
            <w:r>
              <w:t xml:space="preserve">Category 1: Purchased Goods and Services (Materials)</w:t>
            </w:r>
          </w:p>
        </w:tc>
        <w:tc>
          <w:tcPr/>
          <w:p>
            <w:pPr>
              <w:pStyle w:val="Compact"/>
              <w:jc w:val="left"/>
            </w:pPr>
            <w:r>
              <w:t xml:space="preserve">3.52</w:t>
            </w:r>
          </w:p>
        </w:tc>
      </w:tr>
      <w:tr>
        <w:tc>
          <w:tcPr/>
          <w:p>
            <w:pPr>
              <w:pStyle w:val="Compact"/>
            </w:pPr>
          </w:p>
        </w:tc>
        <w:tc>
          <w:tcPr/>
          <w:p>
            <w:pPr>
              <w:pStyle w:val="Compact"/>
              <w:jc w:val="left"/>
            </w:pPr>
            <w:r>
              <w:t xml:space="preserve">Category 9: Downstream Transportation and Distribution</w:t>
            </w:r>
          </w:p>
        </w:tc>
        <w:tc>
          <w:tcPr/>
          <w:p>
            <w:pPr>
              <w:pStyle w:val="Compact"/>
              <w:jc w:val="left"/>
            </w:pPr>
            <w:r>
              <w:t xml:space="preserve">0.27663</w:t>
            </w:r>
          </w:p>
        </w:tc>
      </w:tr>
      <w:tr>
        <w:tc>
          <w:tcPr/>
          <w:p>
            <w:pPr>
              <w:pStyle w:val="Compact"/>
            </w:pPr>
          </w:p>
        </w:tc>
        <w:tc>
          <w:tcPr/>
          <w:p>
            <w:pPr>
              <w:pStyle w:val="Compact"/>
              <w:jc w:val="left"/>
            </w:pPr>
            <w:r>
              <w:t xml:space="preserve">Category 11: Use of Sold Products</w:t>
            </w:r>
          </w:p>
        </w:tc>
        <w:tc>
          <w:tcPr/>
          <w:p>
            <w:pPr>
              <w:pStyle w:val="Compact"/>
              <w:jc w:val="left"/>
            </w:pPr>
            <w:r>
              <w:t xml:space="preserve">40.00</w:t>
            </w:r>
          </w:p>
        </w:tc>
      </w:tr>
      <w:tr>
        <w:tc>
          <w:tcPr/>
          <w:p>
            <w:pPr>
              <w:pStyle w:val="Compact"/>
            </w:pPr>
          </w:p>
        </w:tc>
        <w:tc>
          <w:tcPr/>
          <w:p>
            <w:pPr>
              <w:pStyle w:val="Compact"/>
              <w:jc w:val="left"/>
            </w:pPr>
            <w:r>
              <w:t xml:space="preserve">Category 12: End-of-Life Treatment of Sold Products (Credit)</w:t>
            </w:r>
          </w:p>
        </w:tc>
        <w:tc>
          <w:tcPr/>
          <w:p>
            <w:pPr>
              <w:pStyle w:val="Compact"/>
              <w:jc w:val="left"/>
            </w:pPr>
            <w:r>
              <w:t xml:space="preserve">-1.9712</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44.60943</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primary hotspot for the fxzgvtreid product is clearly identified in the **Use Phase (40.00 kg CO2e)**, which accounts for approximately 89.67% of the total carbon footprint. This is due to the energy consumption of the product over its assumed lifespan. Other significant contributions come from **Purchased Goods and Services (Materials) (3.52 kg CO2e)** and **Purchased Electricity for Production (2.784 kg CO2e)**.</w:t>
      </w:r>
    </w:p>
    <w:p>
      <w:pPr>
        <w:numPr>
          <w:ilvl w:val="0"/>
          <w:numId w:val="1017"/>
        </w:numPr>
        <w:pStyle w:val="Compact"/>
      </w:pPr>
      <w:r>
        <w:rPr>
          <w:bCs/>
          <w:b/>
        </w:rPr>
        <w:t xml:space="preserve">Primary Hotspot:</w:t>
      </w:r>
      <w:r>
        <w:t xml:space="preserve"> </w:t>
      </w:r>
      <w:r>
        <w:t xml:space="preserve">Use of Sold Products (40.00 kg CO2e)</w:t>
      </w:r>
    </w:p>
    <w:p>
      <w:pPr>
        <w:numPr>
          <w:ilvl w:val="0"/>
          <w:numId w:val="1017"/>
        </w:numPr>
        <w:pStyle w:val="Compact"/>
      </w:pPr>
      <w:r>
        <w:rPr>
          <w:bCs/>
          <w:b/>
        </w:rPr>
        <w:t xml:space="preserve">Secondary Hotspots:</w:t>
      </w:r>
      <w:r>
        <w:t xml:space="preserve"> </w:t>
      </w:r>
      <w:r>
        <w:t xml:space="preserve">Purchased Goods and Services (Materials) (3.52 kg CO2e), Purchased Electricity for Production (2.784 kg CO2e)</w:t>
      </w:r>
    </w:p>
    <w:bookmarkEnd w:id="37"/>
    <w:bookmarkStart w:id="38" w:name="reliability-statement"/>
    <w:p>
      <w:pPr>
        <w:pStyle w:val="Heading3"/>
      </w:pPr>
      <w:r>
        <w:t xml:space="preserve">Reliability Statement</w:t>
      </w:r>
    </w:p>
    <w:p>
      <w:pPr>
        <w:pStyle w:val="FirstParagraph"/>
      </w:pPr>
      <w:r>
        <w:t xml:space="preserve">This PCF analysis relies on a combination of primary data (provided parameters like BOM, energy intensity, lifespan) and secondary data (industry-average emission factors). The use of a detailed Bill of Materials enhances the accuracy of material impact calculations. Assumptions made for placeholder values (e.g., transport distances, product weight, use phase electricity mix) are based on reasonable industry averages and have been clearly stated. The results provide a robust estimate for fxzgvtreid\'s carbon footprint, enabling hoqnotozpn to identify key areas for emission reduction.</w:t>
      </w:r>
    </w:p>
    <w:bookmarkEnd w:id="38"/>
    <w:bookmarkStart w:id="39" w:name="Xa93906bb67ec9154f1ee89ba7d04a4755f4e5b7"/>
    <w:p>
      <w:pPr>
        <w:pStyle w:val="Heading3"/>
      </w:pPr>
      <w:r>
        <w:t xml:space="preserve">GHG Protocol Compliance and 2026 LSR Update</w:t>
      </w:r>
    </w:p>
    <w:p>
      <w:pPr>
        <w:pStyle w:val="FirstParagraph"/>
      </w:pPr>
      <w:r>
        <w:t xml:space="preserve">This report adheres to the GHG Protocol Product Standard, ensuring all relevant emissions are categorized into Scope 1, 2, and 3. Emphasis has been placed on achieving robust Scope 3 reporting, with coverage for key categories including Purchased Goods and Services, Downstream Transportation, Use of Sold Products, and End-of-Life Treatment. These categories represent a significant majority of the product\'s lifecycle emissions, ensuring well over 95% coverage as per 2026 requirements.</w:t>
      </w:r>
    </w:p>
    <w:p>
      <w:pPr>
        <w:pStyle w:val="BodyText"/>
      </w:pPr>
      <w:r>
        <w:t xml:space="preserve">The Land Sector and Removals (LSR) Standard (2026 update) is acknowledged as critical for comprehensively accounting for land use and carbon removals. While specific land-use change data for raw material extraction or manufacturing sites were not provided within the report parameters, hoqnotozpn recognizes the importance of this standard. A full quantitative assessment under the LSR standard would require detailed primary data on land transformations associated with the supply chain and product lifecycle, which is beyond the scope of the current data provided but is a crucial consideration for future, more granular analyses.</w:t>
      </w:r>
    </w:p>
    <w:p>
      <w:r>
        <w:pict>
          <v:rect style="width:0;height:1.5pt" o:hralign="center" o:hrstd="t" o:hr="t"/>
        </w:pict>
      </w:r>
    </w:p>
    <w:bookmarkEnd w:id="39"/>
    <w:bookmarkEnd w:id="40"/>
    <w:bookmarkStart w:id="41" w:name="recommendations-for-emission-reduction"/>
    <w:p>
      <w:pPr>
        <w:pStyle w:val="Heading2"/>
      </w:pPr>
      <w:r>
        <w:t xml:space="preserve">Recommendations for Emission Reduction</w:t>
      </w:r>
    </w:p>
    <w:p>
      <w:pPr>
        <w:pStyle w:val="FirstParagraph"/>
      </w:pPr>
      <w:r>
        <w:t xml:space="preserve">Based on this PCF analysis, hoqnotozpn should focus on the following areas to reduce the carbon footprint of fxzgvtreid:</w:t>
      </w:r>
    </w:p>
    <w:p>
      <w:pPr>
        <w:numPr>
          <w:ilvl w:val="0"/>
          <w:numId w:val="1018"/>
        </w:numPr>
        <w:pStyle w:val="Compact"/>
      </w:pPr>
      <w:r>
        <w:rPr>
          <w:bCs/>
          <w:b/>
        </w:rPr>
        <w:t xml:space="preserve">Optimize Use Phase:</w:t>
      </w:r>
      <w:r>
        <w:t xml:space="preserve"> </w:t>
      </w:r>
      <w:r>
        <w:t xml:space="preserve">Investigate opportunities to reduce the product\'s energy consumption during its use phase. This could involve improving energy efficiency, exploring lower-carbon energy options for users (e.g., promoting renewable energy use by customers), or extending product lifespan through durability and repairability.</w:t>
      </w:r>
    </w:p>
    <w:p>
      <w:pPr>
        <w:numPr>
          <w:ilvl w:val="0"/>
          <w:numId w:val="1018"/>
        </w:numPr>
        <w:pStyle w:val="Compact"/>
      </w:pPr>
      <w:r>
        <w:rPr>
          <w:bCs/>
          <w:b/>
        </w:rPr>
        <w:t xml:space="preserve">Material Innovations:</w:t>
      </w:r>
      <w:r>
        <w:t xml:space="preserve"> </w:t>
      </w:r>
      <w:r>
        <w:t xml:space="preserve">Continue to explore materials with lower embedded carbon, prioritizing recycled content and innovative bio-based alternatives where feasible.</w:t>
      </w:r>
    </w:p>
    <w:p>
      <w:pPr>
        <w:numPr>
          <w:ilvl w:val="0"/>
          <w:numId w:val="1018"/>
        </w:numPr>
        <w:pStyle w:val="Compact"/>
      </w:pPr>
      <w:r>
        <w:rPr>
          <w:bCs/>
          <w:b/>
        </w:rPr>
        <w:t xml:space="preserve">Renewable Energy Adoption:</w:t>
      </w:r>
      <w:r>
        <w:t xml:space="preserve"> </w:t>
      </w:r>
      <w:r>
        <w:t xml:space="preserve">Increase the percentage of renewable energy used in manufacturing facilities beyond the current wqwkwspyep.</w:t>
      </w:r>
    </w:p>
    <w:p>
      <w:pPr>
        <w:numPr>
          <w:ilvl w:val="0"/>
          <w:numId w:val="1018"/>
        </w:numPr>
        <w:pStyle w:val="Compact"/>
      </w:pPr>
      <w:r>
        <w:rPr>
          <w:bCs/>
          <w:b/>
        </w:rPr>
        <w:t xml:space="preserve">Logistics Efficiency:</w:t>
      </w:r>
      <w:r>
        <w:t xml:space="preserve"> </w:t>
      </w:r>
      <w:r>
        <w:t xml:space="preserve">Optimize transport routes, explore more efficient transport modes (e.g., rail over road for longer distances within continents), and maximize load factors to reduce transport-related emissions.</w:t>
      </w:r>
    </w:p>
    <w:p>
      <w:pPr>
        <w:numPr>
          <w:ilvl w:val="0"/>
          <w:numId w:val="1018"/>
        </w:numPr>
        <w:pStyle w:val="Compact"/>
      </w:pPr>
      <w:r>
        <w:rPr>
          <w:bCs/>
          <w:b/>
        </w:rPr>
        <w:t xml:space="preserve">Enhance Circularity:</w:t>
      </w:r>
      <w:r>
        <w:t xml:space="preserve"> </w:t>
      </w:r>
      <w:r>
        <w:t xml:space="preserve">Further develop and promote circular programs like fiqhroshns to increase material recovery rates and ensure that the dmqkvfrjmq recyclability percentage is realized in practice.</w: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fxzgvtreid</dc:title>
  <dc:creator/>
  <dc:description>Detailed Product Carbon Footprint (PCF) analysis for fxzgvtreid, conducted by zvgpyoqxkf, Senior Sustainability Consultant at hoqnotozpn, adhering to GHG Protocol and 2026 LSR standards.</dc:description>
  <dc:language>en</dc:language>
  <cp:keywords/>
  <dcterms:created xsi:type="dcterms:W3CDTF">2026-05-30T19:19:21Z</dcterms:created>
  <dcterms:modified xsi:type="dcterms:W3CDTF">2026-05-30T19:19:21Z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