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fxqwwxxvtr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fxqwwxxvtr</w:t>
      </w:r>
    </w:p>
    <w:p>
      <w:pPr>
        <w:pStyle w:val="BodyText"/>
      </w:pPr>
      <w:r>
        <w:rPr>
          <w:bCs/>
          <w:b/>
        </w:rPr>
        <w:t xml:space="preserve">Company:</w:t>
      </w:r>
      <w:r>
        <w:t xml:space="preserve"> </w:t>
      </w:r>
      <w:r>
        <w:t xml:space="preserve">fkmrugxnrj</w:t>
      </w:r>
    </w:p>
    <w:p>
      <w:pPr>
        <w:pStyle w:val="BodyText"/>
      </w:pPr>
      <w:r>
        <w:rPr>
          <w:bCs/>
          <w:b/>
        </w:rPr>
        <w:t xml:space="preserve">Senior Sustainability Consultant:</w:t>
      </w:r>
      <w:r>
        <w:t xml:space="preserve"> </w:t>
      </w:r>
      <w:r>
        <w:t xml:space="preserve">ptylfgrrzl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specified parameters. Assumptions have been made for illustrative data where generic placeholders were provided to enable calculation. The accuracy of the results is dependent on the completeness and precision of the input data.</w:t>
      </w:r>
    </w:p>
    <w:bookmarkEnd w:id="20"/>
    <w:bookmarkStart w:id="51" w:name="X6970014b51309bf18777e2945cf3e33976b0de1"/>
    <w:p>
      <w:pPr>
        <w:pStyle w:val="Heading1"/>
      </w:pPr>
      <w:r>
        <w:t xml:space="preserve">Product Carbon Footprint Report: fxqwwxxvtr</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fxqwwxxvtr, commissioned by fkmrugxnrj. The analysis was conducted by ptylfgrrzl, Senior Sustainability Consultant, adhering strictly to the Greenhouse Gas (GHG) Protocol standards, including the latest 2026 Land Sector and Removals (LSR) update and the 95% Scope 3 coverage requirement. The total cradle-to-grave carbon footprint for one functional unit of fxqwwxxvtr is calculated to be</w:t>
      </w:r>
      <w:r>
        <w:t xml:space="preserve"> </w:t>
      </w:r>
      <w:r>
        <w:rPr>
          <w:bCs/>
          <w:b/>
        </w:rPr>
        <w:t xml:space="preserve">19.62 kg CO2e</w:t>
      </w:r>
      <w:r>
        <w:t xml:space="preserve">. Key emission hotspots identified are the Use Phase, followed by Raw Material Acquisition and Pre-processing. Significant carbon reductions are achieved through the product\'s high recyclability at End-of-Life, demonstrating the benefits of circular economy initiatives.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fxqwwxxvtr followed a rigorous five-step methodology in accordance with the GHG Protocol, aiming for a comprehensive and transparent assessment of greenhouse gas emissions across the product\'s lifecycle.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fxqwwxxvtr</w:t>
      </w:r>
      <w:r>
        <w:t xml:space="preserve">.</w:t>
      </w:r>
    </w:p>
    <w:bookmarkEnd w:id="22"/>
    <w:bookmarkStart w:id="23" w:name="system-boundary"/>
    <w:p>
      <w:pPr>
        <w:pStyle w:val="Heading3"/>
      </w:pPr>
      <w:r>
        <w:t xml:space="preserve">1.2. System Boundary</w:t>
      </w:r>
    </w:p>
    <w:p>
      <w:pPr>
        <w:pStyle w:val="FirstParagraph"/>
      </w:pPr>
      <w:r>
        <w:t xml:space="preserve">The system boundary for this PCF analysis is \'Cradle-to-Grave\'. This encompasses all stages from raw material extraction and processing, manufacturing, distribution, the product\'s use phase, and its end-of-life treatment. While the primary production emissions are reported up to the \'factory_gate\', subsequent lifecycle stages are also included to provide a holistic view as requested.</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be primarily within Europe for emission factor application.</w:t>
      </w:r>
    </w:p>
    <w:bookmarkEnd w:id="24"/>
    <w:bookmarkStart w:id="25" w:name="accounting-standard"/>
    <w:p>
      <w:pPr>
        <w:pStyle w:val="Heading3"/>
      </w:pPr>
      <w:r>
        <w:t xml:space="preserve">1.4. Accounting Standard</w:t>
      </w:r>
    </w:p>
    <w:p>
      <w:pPr>
        <w:pStyle w:val="FirstParagraph"/>
      </w:pPr>
      <w:r>
        <w:t xml:space="preserve">This report explicitly adheres to the</w:t>
      </w:r>
      <w:r>
        <w:t xml:space="preserve"> </w:t>
      </w:r>
      <w:r>
        <w:rPr>
          <w:bCs/>
          <w:b/>
        </w:rPr>
        <w:t xml:space="preserve">GHG Protocol</w:t>
      </w:r>
      <w:r>
        <w:t xml:space="preserve"> </w:t>
      </w:r>
      <w:r>
        <w:t xml:space="preserve">for corporate accounting and reporting. Emissions are categorized into Scope 1 (direct emissions from owned or controlled sources), Scope 2 (indirect emissions from the generation of purchased energy), and Scope 3 (all other indirect emissions that occur in the value chain).</w:t>
      </w:r>
    </w:p>
    <w:p>
      <w:pPr>
        <w:pStyle w:val="BodyText"/>
      </w:pPr>
      <w:r>
        <w:t xml:space="preserve">Furthermore, this analysis incorporates the</w:t>
      </w:r>
      <w:r>
        <w:t xml:space="preserve"> </w:t>
      </w:r>
      <w:r>
        <w:rPr>
          <w:bCs/>
          <w:b/>
        </w:rPr>
        <w:t xml:space="preserve">2026 Land Sector and Removals (LSR) Standard update</w:t>
      </w:r>
      <w:r>
        <w:t xml:space="preserve">, released on January 30, 2026, and effective January 1, 2027. While the LSR Standard primarily addresses land-based emissions and removals (e.g., agriculture), its principles are applied to account for carbon removals/avoided emissions from circular economy initiatives like recycling.</w:t>
      </w:r>
    </w:p>
    <w:p>
      <w:pPr>
        <w:pStyle w:val="BodyText"/>
      </w:pPr>
      <w:r>
        <w:t xml:space="preserve">Compliance with</w:t>
      </w:r>
      <w:r>
        <w:t xml:space="preserve"> </w:t>
      </w:r>
      <w:r>
        <w:rPr>
          <w:bCs/>
          <w:b/>
        </w:rPr>
        <w:t xml:space="preserve">Scope 3 requirements</w:t>
      </w:r>
      <w:r>
        <w:t xml:space="preserve"> </w:t>
      </w:r>
      <w:r>
        <w:t xml:space="preserve">includes ensuring at least 95% coverage for all required Scope 3 emission categories (1-15) as per the 2026 GHG Protocol revisions. The comprehensive lifecycle stages covered in this report ensure a high level of Scope 3 inclusion.</w:t>
      </w:r>
    </w:p>
    <w:bookmarkEnd w:id="25"/>
    <w:bookmarkStart w:id="26" w:name="allocation"/>
    <w:p>
      <w:pPr>
        <w:pStyle w:val="Heading3"/>
      </w:pPr>
      <w:r>
        <w:t xml:space="preserve">1.5. Allocation</w:t>
      </w:r>
    </w:p>
    <w:p>
      <w:pPr>
        <w:pStyle w:val="FirstParagraph"/>
      </w:pPr>
      <w:r>
        <w:t xml:space="preserve">For this single-product PCF, emissions are directly attributed to the functional unit. In cases of shared processes or co-products, generally, mass or economic allocation methods would be applied; however, this is not directly applicable given the product-specific nature of the analysis and the provided data.</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and energy inputs across the product\'s lifecycle, incorporating both primary data (where provided) and secondary data (industry-standard emission factors).</w:t>
      </w:r>
    </w:p>
    <w:bookmarkStart w:id="28" w:name="X3cffdbf343b4dff1e96b21e8c1cc7ab92a121b1"/>
    <w:p>
      <w:pPr>
        <w:pStyle w:val="Heading3"/>
      </w:pPr>
      <w:r>
        <w:t xml:space="preserve">2.1. Illustrative Parameters Utilized for Calculation</w:t>
      </w:r>
    </w:p>
    <w:p>
      <w:pPr>
        <w:pStyle w:val="FirstParagraph"/>
      </w:pPr>
      <w:r>
        <w:t xml:space="preserve">Since several parameters were provided as generic placeholder strings, the following illustrative numerical values have been assumed to enable detailed calculations. These assumptions are based on typical industry contexts relevant to the product and geographic scope.</w:t>
      </w:r>
    </w:p>
    <w:p>
      <w:pPr>
        <w:numPr>
          <w:ilvl w:val="0"/>
          <w:numId w:val="1002"/>
        </w:numPr>
      </w:pPr>
      <w:r>
        <w:rPr>
          <w:bCs/>
          <w:b/>
        </w:rPr>
        <w:t xml:space="preserve">Illustrative Detailed Bill of Materials (BOM) Data (based on `wqzinzsm` format):</w:t>
      </w:r>
    </w:p>
    <w:p>
      <w:pPr>
        <w:numPr>
          <w:ilvl w:val="0"/>
          <w:numId w:val="1000"/>
        </w:numPr>
        <w:pStyle w:val="SourceCode"/>
      </w:pPr>
      <w:r>
        <w:rPr>
          <w:rStyle w:val="VerbatimChar"/>
        </w:rPr>
        <w:t xml:space="preserve">ID,Description,Category,Process,Qty,Unit,Emission Factor (kgCO2e/Unit),Total Carbon (kgCO2e)</w:t>
      </w:r>
      <w:r>
        <w:br/>
      </w:r>
      <w:r>
        <w:rPr>
          <w:rStyle w:val="VerbatimChar"/>
        </w:rPr>
        <w:t xml:space="preserve">1,Aluminum Frame,Metal,Extrusion,0.5,kg,7.0,3.50</w:t>
      </w:r>
      <w:r>
        <w:br/>
      </w:r>
      <w:r>
        <w:rPr>
          <w:rStyle w:val="VerbatimChar"/>
        </w:rPr>
        <w:t xml:space="preserve">2,Plastic Casing,Polymer,Injection Molding,0.3,kg,2.2,0.66</w:t>
      </w:r>
      <w:r>
        <w:br/>
      </w:r>
      <w:r>
        <w:rPr>
          <w:rStyle w:val="VerbatimChar"/>
        </w:rPr>
        <w:t xml:space="preserve">3,Printed Circuit Board,Electronics,Assembly,0.1,unit,15.0,1.50</w:t>
      </w:r>
      <w:r>
        <w:br/>
      </w:r>
      <w:r>
        <w:rPr>
          <w:rStyle w:val="VerbatimChar"/>
        </w:rPr>
        <w:t xml:space="preserve">4,Lithium-Ion Battery,Chemical,Manufacturing,0.2,kg,12.0,2.40</w:t>
      </w:r>
      <w:r>
        <w:br/>
      </w:r>
      <w:r>
        <w:rPr>
          <w:rStyle w:val="VerbatimChar"/>
        </w:rPr>
        <w:t xml:space="preserve">5,Packaging (Recycled Cardboard),Paper,Production,0.08,kg,0.5,0.04</w:t>
      </w:r>
    </w:p>
    <w:p>
      <w:pPr>
        <w:numPr>
          <w:ilvl w:val="0"/>
          <w:numId w:val="1002"/>
        </w:numPr>
        <w:pStyle w:val="Compact"/>
      </w:pPr>
      <w:r>
        <w:rPr>
          <w:bCs/>
          <w:b/>
        </w:rPr>
        <w:t xml:space="preserve">Transport Mode (`Select Mode`):</w:t>
      </w:r>
      <w:r>
        <w:t xml:space="preserve"> </w:t>
      </w:r>
      <w:r>
        <w:t xml:space="preserve">Road Freight (Heavy Goods Vehicle &gt;16t)</w:t>
      </w:r>
    </w:p>
    <w:p>
      <w:pPr>
        <w:numPr>
          <w:ilvl w:val="0"/>
          <w:numId w:val="1002"/>
        </w:numPr>
        <w:pStyle w:val="Compact"/>
      </w:pPr>
      <w:r>
        <w:rPr>
          <w:bCs/>
          <w:b/>
        </w:rPr>
        <w:t xml:space="preserve">Transport Distance (`txltlqjjir`):</w:t>
      </w:r>
      <w:r>
        <w:t xml:space="preserve"> </w:t>
      </w:r>
      <w:r>
        <w:t xml:space="preserve">1800 km</w:t>
      </w:r>
    </w:p>
    <w:p>
      <w:pPr>
        <w:numPr>
          <w:ilvl w:val="0"/>
          <w:numId w:val="1002"/>
        </w:numPr>
        <w:pStyle w:val="Compact"/>
      </w:pPr>
      <w:r>
        <w:rPr>
          <w:bCs/>
          <w:b/>
        </w:rPr>
        <w:t xml:space="preserve">Last-Mile Delivery Channel (`Delivery Type`):</w:t>
      </w:r>
      <w:r>
        <w:t xml:space="preserve"> </w:t>
      </w:r>
      <w:r>
        <w:t xml:space="preserve">Small Parcel Van Delivery</w:t>
      </w:r>
    </w:p>
    <w:p>
      <w:pPr>
        <w:numPr>
          <w:ilvl w:val="0"/>
          <w:numId w:val="1002"/>
        </w:numPr>
        <w:pStyle w:val="Compact"/>
      </w:pPr>
      <w:r>
        <w:rPr>
          <w:bCs/>
          <w:b/>
        </w:rPr>
        <w:t xml:space="preserve">Renewable Energy Usage (`mqepsnssnw`):</w:t>
      </w:r>
      <w:r>
        <w:t xml:space="preserve"> </w:t>
      </w:r>
      <w:r>
        <w:t xml:space="preserve">60%</w:t>
      </w:r>
    </w:p>
    <w:p>
      <w:pPr>
        <w:numPr>
          <w:ilvl w:val="0"/>
          <w:numId w:val="1002"/>
        </w:numPr>
        <w:pStyle w:val="Compact"/>
      </w:pPr>
      <w:r>
        <w:rPr>
          <w:bCs/>
          <w:b/>
        </w:rPr>
        <w:t xml:space="preserve">Energy Intensity (kWh/unit) (`shkjrdqnso`):</w:t>
      </w:r>
      <w:r>
        <w:t xml:space="preserve"> </w:t>
      </w:r>
      <w:r>
        <w:t xml:space="preserve">3.0 kWh/unit</w:t>
      </w:r>
    </w:p>
    <w:p>
      <w:pPr>
        <w:numPr>
          <w:ilvl w:val="0"/>
          <w:numId w:val="1002"/>
        </w:numPr>
        <w:pStyle w:val="Compact"/>
      </w:pPr>
      <w:r>
        <w:rPr>
          <w:bCs/>
          <w:b/>
        </w:rPr>
        <w:t xml:space="preserve">Product Lifespan (`yvvkdqhgkw`):</w:t>
      </w:r>
      <w:r>
        <w:t xml:space="preserve"> </w:t>
      </w:r>
      <w:r>
        <w:t xml:space="preserve">7 years</w:t>
      </w:r>
    </w:p>
    <w:p>
      <w:pPr>
        <w:numPr>
          <w:ilvl w:val="0"/>
          <w:numId w:val="1002"/>
        </w:numPr>
        <w:pStyle w:val="Compact"/>
      </w:pPr>
      <w:r>
        <w:rPr>
          <w:bCs/>
          <w:b/>
        </w:rPr>
        <w:t xml:space="preserve">Energy Consumption in Use (`poyiqldsfr`):</w:t>
      </w:r>
      <w:r>
        <w:t xml:space="preserve"> </w:t>
      </w:r>
      <w:r>
        <w:t xml:space="preserve">5 kWh/year</w:t>
      </w:r>
    </w:p>
    <w:p>
      <w:pPr>
        <w:numPr>
          <w:ilvl w:val="0"/>
          <w:numId w:val="1002"/>
        </w:numPr>
        <w:pStyle w:val="Compact"/>
      </w:pPr>
      <w:r>
        <w:rPr>
          <w:bCs/>
          <w:b/>
        </w:rPr>
        <w:t xml:space="preserve">Recyclability Percentage (`nisdojepzx`):</w:t>
      </w:r>
      <w:r>
        <w:t xml:space="preserve"> </w:t>
      </w:r>
      <w:r>
        <w:t xml:space="preserve">85%</w:t>
      </w:r>
    </w:p>
    <w:p>
      <w:pPr>
        <w:numPr>
          <w:ilvl w:val="0"/>
          <w:numId w:val="1002"/>
        </w:numPr>
        <w:pStyle w:val="Compact"/>
      </w:pPr>
      <w:r>
        <w:rPr>
          <w:bCs/>
          <w:b/>
        </w:rPr>
        <w:t xml:space="preserve">Circular/Take-back Programs (`melwmoilnj`):</w:t>
      </w:r>
      <w:r>
        <w:t xml:space="preserve"> </w:t>
      </w:r>
      <w:r>
        <w:t xml:space="preserve">Yes, formal take-back program available</w:t>
      </w:r>
    </w:p>
    <w:bookmarkEnd w:id="28"/>
    <w:bookmarkStart w:id="29" w:name="Xff31e690bfe279af69cf88b9219fe5d56042afb"/>
    <w:p>
      <w:pPr>
        <w:pStyle w:val="Heading3"/>
      </w:pPr>
      <w:r>
        <w:t xml:space="preserve">2.2. Raw Material Acquisition &amp; Pre-processing (Scope 3 - Upstream)</w:t>
      </w:r>
    </w:p>
    <w:p>
      <w:pPr>
        <w:pStyle w:val="FirstParagraph"/>
      </w:pPr>
      <w:r>
        <w:t xml:space="preserve">This stage accounts for the emissions associated with the extraction, processing, and manufacturing of raw materials and components that constitute the product fxqwwxxvtr. The detailed Bill of Materials (BOM) provided (as represented by the illustrative data for `wqzinzsm`) was used for high-accuracy material impact calculation.</w:t>
      </w:r>
    </w:p>
    <w:p>
      <w:pPr>
        <w:pStyle w:val="BodyText"/>
      </w:pPr>
      <w:r>
        <w:rPr>
          <w:bCs/>
          <w:b/>
        </w:rPr>
        <w:t xml:space="preserve">Detailed Bill of Materials (BOM) Data and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w:t>
            </w:r>
          </w:p>
        </w:tc>
      </w:tr>
    </w:tbl>
    <w:p>
      <w:pPr>
        <w:pStyle w:val="BodyText"/>
      </w:pPr>
      <w:r>
        <w:rPr>
          <w:bCs/>
          <w:b/>
        </w:rPr>
        <w:t xml:space="preserve">Total Mass of Product (excluding PCB unit for sum of kg):</w:t>
      </w:r>
      <w:r>
        <w:t xml:space="preserve"> </w:t>
      </w:r>
      <w:r>
        <w:t xml:space="preserve">Approximately 1.08 kg. For transport calculations, an approximate total product mass of 1.1 kg is used.</w:t>
      </w:r>
    </w:p>
    <w:bookmarkEnd w:id="29"/>
    <w:bookmarkStart w:id="30" w:name="Xbc52f2bee949a2301190107a4b6f1d013c8de83"/>
    <w:p>
      <w:pPr>
        <w:pStyle w:val="Heading3"/>
      </w:pPr>
      <w:r>
        <w:t xml:space="preserve">2.3. Manufacturing (Production Phase - China) (Scope 1 &amp; 2)</w:t>
      </w:r>
    </w:p>
    <w:p>
      <w:pPr>
        <w:pStyle w:val="FirstParagraph"/>
      </w:pPr>
      <w:r>
        <w:t xml:space="preserve">This phase includes emissions from the energy consumed during the assembly and manufacturing processes in the production facility located in China.</w:t>
      </w:r>
    </w:p>
    <w:p>
      <w:pPr>
        <w:numPr>
          <w:ilvl w:val="0"/>
          <w:numId w:val="1003"/>
        </w:numPr>
        <w:pStyle w:val="Compact"/>
      </w:pPr>
      <w:r>
        <w:rPr>
          <w:bCs/>
          <w:b/>
        </w:rPr>
        <w:t xml:space="preserve">Energy Intensity (`shkjrdqnso`):</w:t>
      </w:r>
      <w:r>
        <w:t xml:space="preserve"> </w:t>
      </w:r>
      <w:r>
        <w:t xml:space="preserve">3.0 kWh/unit</w:t>
      </w:r>
    </w:p>
    <w:p>
      <w:pPr>
        <w:numPr>
          <w:ilvl w:val="0"/>
          <w:numId w:val="1003"/>
        </w:numPr>
        <w:pStyle w:val="Compact"/>
      </w:pPr>
      <w:r>
        <w:rPr>
          <w:bCs/>
          <w:b/>
        </w:rPr>
        <w:t xml:space="preserve">Renewable Energy Usage (`mqepsnssnw`):</w:t>
      </w:r>
      <w:r>
        <w:t xml:space="preserve"> </w:t>
      </w:r>
      <w:r>
        <w:t xml:space="preserve">60%</w:t>
      </w:r>
    </w:p>
    <w:p>
      <w:pPr>
        <w:numPr>
          <w:ilvl w:val="0"/>
          <w:numId w:val="1003"/>
        </w:numPr>
        <w:pStyle w:val="Compact"/>
      </w:pPr>
      <w:r>
        <w:rPr>
          <w:bCs/>
          <w:b/>
        </w:rPr>
        <w:t xml:space="preserve">China Grid Electricity Emission Factor:</w:t>
      </w:r>
      <w:r>
        <w:t xml:space="preserve"> </w:t>
      </w:r>
      <w:r>
        <w:t xml:space="preserve">0.6144 kg CO2e/kWh (based on 2025 predictions for China\'s electricity mix)</w:t>
      </w:r>
    </w:p>
    <w:p>
      <w:pPr>
        <w:numPr>
          <w:ilvl w:val="0"/>
          <w:numId w:val="1003"/>
        </w:numPr>
        <w:pStyle w:val="Compact"/>
      </w:pPr>
      <w:r>
        <w:rPr>
          <w:bCs/>
          <w:b/>
        </w:rPr>
        <w:t xml:space="preserve">Renewable Electricity Emission Factor:</w:t>
      </w:r>
      <w:r>
        <w:t xml:space="preserve"> </w:t>
      </w:r>
      <w:r>
        <w:t xml:space="preserve">Assumed 0.01 kg CO2e/kWh (reflecting minor upstream lifecycle emissions)</w:t>
      </w:r>
    </w:p>
    <w:p>
      <w:pPr>
        <w:numPr>
          <w:ilvl w:val="0"/>
          <w:numId w:val="1003"/>
        </w:numPr>
        <w:pStyle w:val="Compact"/>
      </w:pPr>
      <w:r>
        <w:rPr>
          <w:bCs/>
          <w:b/>
        </w:rPr>
        <w:t xml:space="preserve">Scope 1 Emissions (Direct):</w:t>
      </w:r>
      <w:r>
        <w:t xml:space="preserve"> </w:t>
      </w:r>
      <w:r>
        <w:t xml:space="preserve">Assumed negligible, as specific data for direct fossil fuel combustion or process emissions at the manufacturing site were not provided.</w:t>
      </w:r>
    </w:p>
    <w:bookmarkEnd w:id="30"/>
    <w:bookmarkStart w:id="31" w:name="transport-scope-3---upstream-downstream"/>
    <w:p>
      <w:pPr>
        <w:pStyle w:val="Heading3"/>
      </w:pPr>
      <w:r>
        <w:t xml:space="preserve">2.4. Transport (Scope 3 - Upstream &amp; Downstream)</w:t>
      </w:r>
    </w:p>
    <w:p>
      <w:pPr>
        <w:pStyle w:val="FirstParagraph"/>
      </w:pPr>
      <w:r>
        <w:t xml:space="preserve">This covers the transportation of raw materials to the factory (upstream) and the finished product from the factory to the end-consumer (downstream). Given the "Europe Focused" supply chain, transport from China to Europe, followed by last-mile delivery within Europe, is considered.</w:t>
      </w:r>
    </w:p>
    <w:p>
      <w:pPr>
        <w:numPr>
          <w:ilvl w:val="0"/>
          <w:numId w:val="1004"/>
        </w:numPr>
        <w:pStyle w:val="Compact"/>
      </w:pPr>
      <w:r>
        <w:rPr>
          <w:bCs/>
          <w:b/>
        </w:rPr>
        <w:t xml:space="preserve">Product Total Mass (approximate):</w:t>
      </w:r>
      <w:r>
        <w:t xml:space="preserve"> </w:t>
      </w:r>
      <w:r>
        <w:t xml:space="preserve">1.1 kg</w:t>
      </w:r>
    </w:p>
    <w:p>
      <w:pPr>
        <w:numPr>
          <w:ilvl w:val="0"/>
          <w:numId w:val="1004"/>
        </w:numPr>
        <w:pStyle w:val="Compact"/>
      </w:pPr>
      <w:r>
        <w:rPr>
          <w:bCs/>
          <w:b/>
        </w:rPr>
        <w:t xml:space="preserve">Main Transport (`txltlqjjir`):</w:t>
      </w:r>
      <w:r>
        <w:t xml:space="preserve"> </w:t>
      </w:r>
      <w:r>
        <w:t xml:space="preserve">1800 km, via Road Freight (Heavy Goods Vehicle &gt;16t).</w:t>
      </w:r>
    </w:p>
    <w:p>
      <w:pPr>
        <w:numPr>
          <w:ilvl w:val="0"/>
          <w:numId w:val="1004"/>
        </w:numPr>
        <w:pStyle w:val="Compact"/>
      </w:pPr>
      <w:r>
        <w:rPr>
          <w:bCs/>
          <w:b/>
        </w:rPr>
        <w:t xml:space="preserve">Road Freight Emission Factor:</w:t>
      </w:r>
      <w:r>
        <w:t xml:space="preserve"> </w:t>
      </w:r>
      <w:r>
        <w:t xml:space="preserve">0.105 kg CO2e/tonne-km (for a modern lorry)</w:t>
      </w:r>
    </w:p>
    <w:p>
      <w:pPr>
        <w:numPr>
          <w:ilvl w:val="0"/>
          <w:numId w:val="1004"/>
        </w:numPr>
        <w:pStyle w:val="Compact"/>
      </w:pPr>
      <w:r>
        <w:rPr>
          <w:bCs/>
          <w:b/>
        </w:rPr>
        <w:t xml:space="preserve">Last-Mile Delivery (`Delivery Type`):</w:t>
      </w:r>
      <w:r>
        <w:t xml:space="preserve"> </w:t>
      </w:r>
      <w:r>
        <w:t xml:space="preserve">Small Parcel Van Delivery. An average last-mile emission of 0.25 kg CO2e per unit is assumed, considering typical delivery distances and vehicle efficiencies.</w:t>
      </w:r>
    </w:p>
    <w:bookmarkEnd w:id="31"/>
    <w:bookmarkStart w:id="32" w:name="use-phase-scope-3---downstream"/>
    <w:p>
      <w:pPr>
        <w:pStyle w:val="Heading3"/>
      </w:pPr>
      <w:r>
        <w:t xml:space="preserve">2.5. Use Phase (Scope 3 - Downstream)</w:t>
      </w:r>
    </w:p>
    <w:p>
      <w:pPr>
        <w:pStyle w:val="FirstParagraph"/>
      </w:pPr>
      <w:r>
        <w:t xml:space="preserve">Emissions from the energy consumption during the product\'s operational life are calculated here, assuming typical usage patterns within Europe.</w:t>
      </w:r>
    </w:p>
    <w:p>
      <w:pPr>
        <w:numPr>
          <w:ilvl w:val="0"/>
          <w:numId w:val="1005"/>
        </w:numPr>
        <w:pStyle w:val="Compact"/>
      </w:pPr>
      <w:r>
        <w:rPr>
          <w:bCs/>
          <w:b/>
        </w:rPr>
        <w:t xml:space="preserve">Product Lifespan (`yvvkdqhgkw`):</w:t>
      </w:r>
      <w:r>
        <w:t xml:space="preserve"> </w:t>
      </w:r>
      <w:r>
        <w:t xml:space="preserve">7 years</w:t>
      </w:r>
    </w:p>
    <w:p>
      <w:pPr>
        <w:numPr>
          <w:ilvl w:val="0"/>
          <w:numId w:val="1005"/>
        </w:numPr>
        <w:pStyle w:val="Compact"/>
      </w:pPr>
      <w:r>
        <w:rPr>
          <w:bCs/>
          <w:b/>
        </w:rPr>
        <w:t xml:space="preserve">Energy Consumption in Use (`poyiqldsfr`):</w:t>
      </w:r>
      <w:r>
        <w:t xml:space="preserve"> </w:t>
      </w:r>
      <w:r>
        <w:t xml:space="preserve">5 kWh/year</w:t>
      </w:r>
    </w:p>
    <w:p>
      <w:pPr>
        <w:numPr>
          <w:ilvl w:val="0"/>
          <w:numId w:val="1005"/>
        </w:numPr>
        <w:pStyle w:val="Compact"/>
      </w:pPr>
      <w:r>
        <w:rPr>
          <w:bCs/>
          <w:b/>
        </w:rPr>
        <w:t xml:space="preserve">Total Use Phase Energy:</w:t>
      </w:r>
      <w:r>
        <w:t xml:space="preserve"> </w:t>
      </w:r>
      <w:r>
        <w:t xml:space="preserve">35 kWh</w:t>
      </w:r>
    </w:p>
    <w:p>
      <w:pPr>
        <w:numPr>
          <w:ilvl w:val="0"/>
          <w:numId w:val="1005"/>
        </w:numPr>
        <w:pStyle w:val="Compact"/>
      </w:pPr>
      <w:r>
        <w:rPr>
          <w:bCs/>
          <w:b/>
        </w:rPr>
        <w:t xml:space="preserve">European Grid Electricity Emission Factor:</w:t>
      </w:r>
      <w:r>
        <w:t xml:space="preserve"> </w:t>
      </w:r>
      <w:r>
        <w:t xml:space="preserve">0.334 kg CO2e/kWh (average for EU in 2024)</w:t>
      </w:r>
    </w:p>
    <w:bookmarkEnd w:id="32"/>
    <w:bookmarkStart w:id="33" w:name="end-of-life-eol-scope-3---downstream"/>
    <w:p>
      <w:pPr>
        <w:pStyle w:val="Heading3"/>
      </w:pPr>
      <w:r>
        <w:t xml:space="preserve">2.6. End-of-Life (EoL) (Scope 3 - Downstream)</w:t>
      </w:r>
    </w:p>
    <w:p>
      <w:pPr>
        <w:pStyle w:val="FirstParagraph"/>
      </w:pPr>
      <w:r>
        <w:t xml:space="preserve">This stage addresses emissions and potential avoided emissions (credits) related to the disposal and recycling of the product at the end of its life, reflecting circular economy impacts.</w:t>
      </w:r>
    </w:p>
    <w:p>
      <w:pPr>
        <w:numPr>
          <w:ilvl w:val="0"/>
          <w:numId w:val="1006"/>
        </w:numPr>
        <w:pStyle w:val="Compact"/>
      </w:pPr>
      <w:r>
        <w:rPr>
          <w:bCs/>
          <w:b/>
        </w:rPr>
        <w:t xml:space="preserve">Recyclability Percentage (`nisdojepzx`):</w:t>
      </w:r>
      <w:r>
        <w:t xml:space="preserve"> </w:t>
      </w:r>
      <w:r>
        <w:t xml:space="preserve">85%</w:t>
      </w:r>
    </w:p>
    <w:p>
      <w:pPr>
        <w:numPr>
          <w:ilvl w:val="0"/>
          <w:numId w:val="1006"/>
        </w:numPr>
        <w:pStyle w:val="Compact"/>
      </w:pPr>
      <w:r>
        <w:rPr>
          <w:bCs/>
          <w:b/>
        </w:rPr>
        <w:t xml:space="preserve">Circular/Take-back Programs (`melwmoilnj`):</w:t>
      </w:r>
      <w:r>
        <w:t xml:space="preserve"> </w:t>
      </w:r>
      <w:r>
        <w:t xml:space="preserve">Formal take-back program available. This supports achieving the high recyclability rate.</w:t>
      </w:r>
    </w:p>
    <w:p>
      <w:pPr>
        <w:numPr>
          <w:ilvl w:val="0"/>
          <w:numId w:val="1006"/>
        </w:numPr>
        <w:pStyle w:val="Compact"/>
      </w:pPr>
      <w:r>
        <w:rPr>
          <w:bCs/>
          <w:b/>
        </w:rPr>
        <w:t xml:space="preserve">EoL Landfill/Incineration Emission Factor (for non-recycled portion):</w:t>
      </w:r>
      <w:r>
        <w:t xml:space="preserve"> </w:t>
      </w:r>
      <w:r>
        <w:t xml:space="preserve">0.1 kg CO2e/kg (generic average for mixed materials)</w:t>
      </w:r>
    </w:p>
    <w:p>
      <w:pPr>
        <w:numPr>
          <w:ilvl w:val="0"/>
          <w:numId w:val="1006"/>
        </w:numPr>
        <w:pStyle w:val="Compact"/>
      </w:pPr>
      <w:r>
        <w:rPr>
          <w:bCs/>
          <w:b/>
        </w:rPr>
        <w:t xml:space="preserve">Recycling Credit Emission Factor (for recycled portion):</w:t>
      </w:r>
      <w:r>
        <w:t xml:space="preserve"> </w:t>
      </w:r>
      <w:r>
        <w:t xml:space="preserve">-1.5 kg CO2e/kg (representing avoided emissions from virgin material production, aligned with LSR standard principles for removals/credits)</w:t>
      </w:r>
    </w:p>
    <w:p>
      <w:r>
        <w:pict>
          <v:rect style="width:0;height:1.5pt" o:hralign="center" o:hrstd="t" o:hr="t"/>
        </w:pict>
      </w:r>
    </w:p>
    <w:bookmarkEnd w:id="33"/>
    <w:bookmarkEnd w:id="34"/>
    <w:bookmarkStart w:id="43" w:name="emission-calculations-co2e"/>
    <w:p>
      <w:pPr>
        <w:pStyle w:val="Heading2"/>
      </w:pPr>
      <w:r>
        <w:t xml:space="preserve">4. Emission Calculations (CO2e)</w:t>
      </w:r>
    </w:p>
    <w:p>
      <w:pPr>
        <w:pStyle w:val="FirstParagraph"/>
      </w:pPr>
      <w:r>
        <w:t xml:space="preserve">The emissions for each lifecycle stage are calculated using the activity data and the respective emission factors. All emissions are expressed in kilograms of carbon dioxide equivalent (kg CO2e).</w:t>
      </w:r>
    </w:p>
    <w:bookmarkStart w:id="35" w:name="X1aa35bfde10275177e7615bdc609047556eddcf"/>
    <w:p>
      <w:pPr>
        <w:pStyle w:val="Heading3"/>
      </w:pPr>
      <w:r>
        <w:t xml:space="preserve">4.1. Raw Material Acquisition &amp; Pre-processing (Scope 3 - Upstream)</w:t>
      </w:r>
    </w:p>
    <w:p>
      <w:pPr>
        <w:pStyle w:val="FirstParagraph"/>
      </w:pPr>
      <w:r>
        <w:t xml:space="preserve">Sum of Total Carbon from BOM (as provided in illustrative data):</w:t>
      </w:r>
    </w:p>
    <w:p>
      <w:pPr>
        <w:pStyle w:val="BodyText"/>
      </w:pPr>
      <w:r>
        <w:t xml:space="preserve">3.50 (Aluminum) + 0.66 (Plastic) + 1.50 (PCB) + 2.40 (Battery) + 0.04 (Packaging) =</w:t>
      </w:r>
      <w:r>
        <w:t xml:space="preserve"> </w:t>
      </w:r>
      <w:r>
        <w:rPr>
          <w:bCs/>
          <w:b/>
        </w:rPr>
        <w:t xml:space="preserve">8.10 kg CO2e</w:t>
      </w:r>
    </w:p>
    <w:bookmarkEnd w:id="35"/>
    <w:bookmarkStart w:id="36" w:name="manufacturing-china-scope-2"/>
    <w:p>
      <w:pPr>
        <w:pStyle w:val="Heading3"/>
      </w:pPr>
      <w:r>
        <w:t xml:space="preserve">4.2. Manufacturing (China) (Scope 2)</w:t>
      </w:r>
    </w:p>
    <w:p>
      <w:pPr>
        <w:pStyle w:val="FirstParagraph"/>
      </w:pPr>
      <w:r>
        <w:t xml:space="preserve">Calculation of adjusted electricity emission factor:</w:t>
      </w:r>
    </w:p>
    <w:p>
      <w:pPr>
        <w:pStyle w:val="BodyText"/>
      </w:pPr>
      <w:r>
        <w:t xml:space="preserve">(0.6144 kg CO2e/kWh * (1 - 0.60)) + (0.01 kg CO2e/kWh * 0.60) = 0.24576 + 0.006 = 0.25176 kg CO2e/kWh</w:t>
      </w:r>
    </w:p>
    <w:p>
      <w:pPr>
        <w:pStyle w:val="BodyText"/>
      </w:pPr>
      <w:r>
        <w:t xml:space="preserve">Manufacturing Electricity Emissions: 3.0 kWh/unit * 0.25176 kg CO2e/kWh =</w:t>
      </w:r>
      <w:r>
        <w:t xml:space="preserve"> </w:t>
      </w:r>
      <w:r>
        <w:rPr>
          <w:bCs/>
          <w:b/>
        </w:rPr>
        <w:t xml:space="preserve">0.76 kg CO2e</w:t>
      </w:r>
    </w:p>
    <w:p>
      <w:pPr>
        <w:pStyle w:val="BodyText"/>
      </w:pPr>
      <w:r>
        <w:rPr>
          <w:iCs/>
          <w:i/>
        </w:rPr>
        <w:t xml:space="preserve">(Scope 1 emissions are assumed to be negligible due to lack of specific data.)</w:t>
      </w:r>
    </w:p>
    <w:bookmarkEnd w:id="36"/>
    <w:bookmarkStart w:id="39" w:name="X7a22b29e66bc9b448d643a0de4df2cb965e474c"/>
    <w:p>
      <w:pPr>
        <w:pStyle w:val="Heading3"/>
      </w:pPr>
      <w:r>
        <w:t xml:space="preserve">4.3. Transport (Scope 3 - Upstream &amp; Downstream)</w:t>
      </w:r>
    </w:p>
    <w:bookmarkStart w:id="37" w:name="X8c22ced3456db0339e8fcca85f52a1f7ae7f097"/>
    <w:p>
      <w:pPr>
        <w:pStyle w:val="Heading4"/>
      </w:pPr>
      <w:r>
        <w:t xml:space="preserve">Main Transport (China to Europe Distribution Hub)</w:t>
      </w:r>
    </w:p>
    <w:p>
      <w:pPr>
        <w:pStyle w:val="FirstParagraph"/>
      </w:pPr>
      <w:r>
        <w:t xml:space="preserve">1.1 kg * 1800 km * 0.000105 kg CO2e/kg-km =</w:t>
      </w:r>
      <w:r>
        <w:t xml:space="preserve"> </w:t>
      </w:r>
      <w:r>
        <w:rPr>
          <w:bCs/>
          <w:b/>
        </w:rPr>
        <w:t xml:space="preserve">0.21 kg CO2e</w:t>
      </w:r>
    </w:p>
    <w:bookmarkEnd w:id="37"/>
    <w:bookmarkStart w:id="38" w:name="last-mile-delivery"/>
    <w:p>
      <w:pPr>
        <w:pStyle w:val="Heading4"/>
      </w:pPr>
      <w:r>
        <w:t xml:space="preserve">Last-Mile Delivery</w:t>
      </w:r>
    </w:p>
    <w:p>
      <w:pPr>
        <w:pStyle w:val="FirstParagraph"/>
      </w:pPr>
      <w:r>
        <w:t xml:space="preserve">1 unit * 0.25 kg CO2e/unit =</w:t>
      </w:r>
      <w:r>
        <w:t xml:space="preserve"> </w:t>
      </w:r>
      <w:r>
        <w:rPr>
          <w:bCs/>
          <w:b/>
        </w:rPr>
        <w:t xml:space="preserve">0.25 kg CO2e</w:t>
      </w:r>
    </w:p>
    <w:p>
      <w:pPr>
        <w:pStyle w:val="BodyText"/>
      </w:pPr>
      <w:r>
        <w:rPr>
          <w:bCs/>
          <w:b/>
        </w:rPr>
        <w:t xml:space="preserve">Total Transport Emissions:</w:t>
      </w:r>
      <w:r>
        <w:t xml:space="preserve"> </w:t>
      </w:r>
      <w:r>
        <w:t xml:space="preserve">0.21 + 0.25 =</w:t>
      </w:r>
      <w:r>
        <w:t xml:space="preserve"> </w:t>
      </w:r>
      <w:r>
        <w:rPr>
          <w:bCs/>
          <w:b/>
        </w:rPr>
        <w:t xml:space="preserve">0.46 kg CO2e</w:t>
      </w:r>
    </w:p>
    <w:bookmarkEnd w:id="38"/>
    <w:bookmarkEnd w:id="39"/>
    <w:bookmarkStart w:id="40" w:name="use-phase-scope-3---downstream-1"/>
    <w:p>
      <w:pPr>
        <w:pStyle w:val="Heading3"/>
      </w:pPr>
      <w:r>
        <w:t xml:space="preserve">4.4. Use Phase (Scope 3 - Downstream)</w:t>
      </w:r>
    </w:p>
    <w:p>
      <w:pPr>
        <w:pStyle w:val="FirstParagraph"/>
      </w:pPr>
      <w:r>
        <w:t xml:space="preserve">Total Use Phase Energy: 5 kWh/year * 7 years = 35 kWh</w:t>
      </w:r>
    </w:p>
    <w:p>
      <w:pPr>
        <w:pStyle w:val="BodyText"/>
      </w:pPr>
      <w:r>
        <w:t xml:space="preserve">Use Phase Emissions: 35 kWh * 0.334 kg CO2e/kWh =</w:t>
      </w:r>
      <w:r>
        <w:t xml:space="preserve"> </w:t>
      </w:r>
      <w:r>
        <w:rPr>
          <w:bCs/>
          <w:b/>
        </w:rPr>
        <w:t xml:space="preserve">11.69 kg CO2e</w:t>
      </w:r>
    </w:p>
    <w:bookmarkEnd w:id="40"/>
    <w:bookmarkStart w:id="41" w:name="end-of-life-eol-scope-3---downstream-1"/>
    <w:p>
      <w:pPr>
        <w:pStyle w:val="Heading3"/>
      </w:pPr>
      <w:r>
        <w:t xml:space="preserve">4.5. End-of-Life (EoL) (Scope 3 - Downstream)</w:t>
      </w:r>
    </w:p>
    <w:p>
      <w:pPr>
        <w:pStyle w:val="FirstParagraph"/>
      </w:pPr>
      <w:r>
        <w:t xml:space="preserve">Non-recycled portion: 1.1 kg * (1 - 0.85) = 0.165 kg</w:t>
      </w:r>
    </w:p>
    <w:p>
      <w:pPr>
        <w:pStyle w:val="BodyText"/>
      </w:pPr>
      <w:r>
        <w:t xml:space="preserve">Emissions from non-recycled part: 0.165 kg * 0.1 kg CO2e/kg = 0.0165 kg CO2e</w:t>
      </w:r>
    </w:p>
    <w:p>
      <w:pPr>
        <w:pStyle w:val="BodyText"/>
      </w:pPr>
      <w:r>
        <w:t xml:space="preserve">Recycled portion: 1.1 kg * 0.85 = 0.935 kg</w:t>
      </w:r>
    </w:p>
    <w:p>
      <w:pPr>
        <w:pStyle w:val="BodyText"/>
      </w:pPr>
      <w:r>
        <w:t xml:space="preserve">Credits from recycling: 0.935 kg * (-1.5) kg CO2e/kg = -1.4025 kg CO2e</w:t>
      </w:r>
    </w:p>
    <w:p>
      <w:pPr>
        <w:pStyle w:val="BodyText"/>
      </w:pPr>
      <w:r>
        <w:rPr>
          <w:bCs/>
          <w:b/>
        </w:rPr>
        <w:t xml:space="preserve">Net End-of-Life Emissions:</w:t>
      </w:r>
      <w:r>
        <w:t xml:space="preserve"> </w:t>
      </w:r>
      <w:r>
        <w:t xml:space="preserve">0.0165 - 1.4025 =</w:t>
      </w:r>
      <w:r>
        <w:t xml:space="preserve"> </w:t>
      </w:r>
      <w:r>
        <w:rPr>
          <w:bCs/>
          <w:b/>
        </w:rPr>
        <w:t xml:space="preserve">-1.39 kg CO2e</w:t>
      </w:r>
    </w:p>
    <w:bookmarkEnd w:id="41"/>
    <w:bookmarkStart w:id="42"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0.76</w:t>
            </w:r>
          </w:p>
        </w:tc>
      </w:tr>
      <w:tr>
        <w:tc>
          <w:tcPr>
            <w:vMerge w:val="restart"/>
          </w:tcPr>
          <w:p>
            <w:pPr>
              <w:pStyle w:val="Compact"/>
              <w:jc w:val="left"/>
            </w:pPr>
            <w:r>
              <w:t xml:space="preserve">Scope 3</w:t>
            </w:r>
          </w:p>
        </w:tc>
        <w:tc>
          <w:tcPr/>
          <w:p>
            <w:pPr>
              <w:pStyle w:val="Compact"/>
              <w:jc w:val="left"/>
            </w:pPr>
            <w:r>
              <w:t xml:space="preserve">Raw Material Acquisition &amp; Pre-processing</w:t>
            </w:r>
          </w:p>
        </w:tc>
        <w:tc>
          <w:tcPr/>
          <w:p>
            <w:pPr>
              <w:pStyle w:val="Compact"/>
              <w:jc w:val="left"/>
            </w:pPr>
            <w:r>
              <w:t xml:space="preserve">8.10</w:t>
            </w:r>
          </w:p>
        </w:tc>
      </w:tr>
      <w:tr>
        <w:tc>
          <w:tcPr>
            <w:gridSpan w:val="1"/>
            <w:vMerge w:val="continue"/>
          </w:tcPr>
          <w:p>
            <w:pPr/>
          </w:p>
        </w:tc>
        <w:tc>
          <w:tcPr/>
          <w:p>
            <w:pPr>
              <w:pStyle w:val="Compact"/>
              <w:jc w:val="left"/>
            </w:pPr>
            <w:r>
              <w:t xml:space="preserve">Transport (Main Distribution)</w:t>
            </w:r>
          </w:p>
        </w:tc>
        <w:tc>
          <w:tcPr/>
          <w:p>
            <w:pPr>
              <w:pStyle w:val="Compact"/>
              <w:jc w:val="left"/>
            </w:pPr>
            <w:r>
              <w:t xml:space="preserve">0.21</w:t>
            </w:r>
          </w:p>
        </w:tc>
      </w:tr>
      <w:tr>
        <w:tc>
          <w:tcPr>
            <w:gridSpan w:val="1"/>
            <w:vMerge w:val="continue"/>
          </w:tcPr>
          <w:p>
            <w:pPr/>
          </w:p>
        </w:tc>
        <w:tc>
          <w:tcPr/>
          <w:p>
            <w:pPr>
              <w:pStyle w:val="Compact"/>
              <w:jc w:val="left"/>
            </w:pPr>
            <w:r>
              <w:t xml:space="preserve">Transport (Last-Mile Delivery)</w:t>
            </w:r>
          </w:p>
        </w:tc>
        <w:tc>
          <w:tcPr/>
          <w:p>
            <w:pPr>
              <w:pStyle w:val="Compact"/>
              <w:jc w:val="left"/>
            </w:pPr>
            <w:r>
              <w:t xml:space="preserve">0.25</w:t>
            </w:r>
          </w:p>
        </w:tc>
      </w:tr>
      <w:tr>
        <w:tc>
          <w:tcPr>
            <w:gridSpan w:val="1"/>
            <w:vMerge w:val="continue"/>
          </w:tcPr>
          <w:p>
            <w:pPr/>
          </w:p>
        </w:tc>
        <w:tc>
          <w:tcPr/>
          <w:p>
            <w:pPr>
              <w:pStyle w:val="Compact"/>
              <w:jc w:val="left"/>
            </w:pPr>
            <w:r>
              <w:t xml:space="preserve">Use Phase</w:t>
            </w:r>
          </w:p>
        </w:tc>
        <w:tc>
          <w:tcPr/>
          <w:p>
            <w:pPr>
              <w:pStyle w:val="Compact"/>
              <w:jc w:val="left"/>
            </w:pPr>
            <w:r>
              <w:t xml:space="preserve">11.69</w:t>
            </w:r>
          </w:p>
        </w:tc>
      </w:tr>
      <w:tr>
        <w:tc>
          <w:tcPr>
            <w:gridSpan w:val="1"/>
            <w:vMerge w:val="continue"/>
          </w:tcPr>
          <w:p>
            <w:pPr/>
          </w:p>
        </w:tc>
        <w:tc>
          <w:tcPr/>
          <w:p>
            <w:pPr>
              <w:pStyle w:val="Compact"/>
              <w:jc w:val="left"/>
            </w:pPr>
            <w:r>
              <w:t xml:space="preserve">End-of-Life</w:t>
            </w:r>
          </w:p>
        </w:tc>
        <w:tc>
          <w:tcPr/>
          <w:p>
            <w:pPr>
              <w:pStyle w:val="Compact"/>
              <w:jc w:val="left"/>
            </w:pPr>
            <w:r>
              <w:t xml:space="preserve">-1.39</w:t>
            </w:r>
          </w:p>
        </w:tc>
      </w:tr>
      <w:tr>
        <w:tc>
          <w:tcPr>
            <w:gridSpan w:val="2"/>
          </w:tcPr>
          <w:p>
            <w:pPr>
              <w:pStyle w:val="Compact"/>
              <w:jc w:val="left"/>
            </w:pPr>
            <w:r>
              <w:t xml:space="preserve">Total Product Carbon Footprint (PCF)</w:t>
            </w:r>
          </w:p>
        </w:tc>
        <w:tc>
          <w:tcPr/>
          <w:p>
            <w:pPr>
              <w:pStyle w:val="Compact"/>
              <w:jc w:val="left"/>
            </w:pPr>
            <w:r>
              <w:t xml:space="preserve">19.62</w:t>
            </w:r>
          </w:p>
        </w:tc>
      </w:tr>
    </w:tbl>
    <w:p>
      <w:r>
        <w:pict>
          <v:rect style="width:0;height:1.5pt" o:hralign="center" o:hrstd="t" o:hr="t"/>
        </w:pict>
      </w:r>
    </w:p>
    <w:bookmarkEnd w:id="42"/>
    <w:bookmarkEnd w:id="43"/>
    <w:bookmarkStart w:id="50" w:name="review-report"/>
    <w:p>
      <w:pPr>
        <w:pStyle w:val="Heading2"/>
      </w:pPr>
      <w:r>
        <w:t xml:space="preserve">5. Review &amp; Report</w:t>
      </w:r>
    </w:p>
    <w:bookmarkStart w:id="44" w:name="hotspot-analysis"/>
    <w:p>
      <w:pPr>
        <w:pStyle w:val="Heading3"/>
      </w:pPr>
      <w:r>
        <w:t xml:space="preserve">5.1. Hotspot Analysis</w:t>
      </w:r>
    </w:p>
    <w:p>
      <w:pPr>
        <w:pStyle w:val="FirstParagraph"/>
      </w:pPr>
      <w:r>
        <w:t xml:space="preserve">The primary emission hotspots for fxqwwxxvtr are:</w:t>
      </w:r>
    </w:p>
    <w:p>
      <w:pPr>
        <w:numPr>
          <w:ilvl w:val="0"/>
          <w:numId w:val="1007"/>
        </w:numPr>
        <w:pStyle w:val="Compact"/>
      </w:pPr>
      <w:r>
        <w:rPr>
          <w:bCs/>
          <w:b/>
        </w:rPr>
        <w:t xml:space="preserve">Use Phase (11.69 kg CO2e):</w:t>
      </w:r>
      <w:r>
        <w:t xml:space="preserve"> </w:t>
      </w:r>
      <w:r>
        <w:t xml:space="preserve">This constitutes the largest portion of the carbon footprint, driven by the product\'s energy consumption over its 7-year lifespan and the average European electricity grid mix.</w:t>
      </w:r>
    </w:p>
    <w:p>
      <w:pPr>
        <w:numPr>
          <w:ilvl w:val="0"/>
          <w:numId w:val="1007"/>
        </w:numPr>
        <w:pStyle w:val="Compact"/>
      </w:pPr>
      <w:r>
        <w:rPr>
          <w:bCs/>
          <w:b/>
        </w:rPr>
        <w:t xml:space="preserve">Raw Material Acquisition &amp; Pre-processing (8.10 kg CO2e):</w:t>
      </w:r>
      <w:r>
        <w:t xml:space="preserve"> </w:t>
      </w:r>
      <w:r>
        <w:t xml:space="preserve">Emissions from materials like Aluminum, Lithium-Ion Batteries, and Printed Circuit Boards significantly contribute to the upstream footprint.</w:t>
      </w:r>
    </w:p>
    <w:p>
      <w:pPr>
        <w:pStyle w:val="FirstParagraph"/>
      </w:pPr>
      <w:r>
        <w:t xml:space="preserve">The End-of-Life phase, with a net emission of -1.39 kg CO2e, demonstrates a positive impact due to the high recyclability and the implementation of circular/take-back programs, offsetting a portion of the product\'s overall footprint by avoiding virgin material production.</w:t>
      </w:r>
    </w:p>
    <w:bookmarkEnd w:id="44"/>
    <w:bookmarkStart w:id="45" w:name="reliability-and-scope-3-compliance"/>
    <w:p>
      <w:pPr>
        <w:pStyle w:val="Heading3"/>
      </w:pPr>
      <w:r>
        <w:t xml:space="preserve">5.2. Reliability and Scope 3 Compliance</w:t>
      </w:r>
    </w:p>
    <w:p>
      <w:pPr>
        <w:pStyle w:val="FirstParagraph"/>
      </w:pPr>
      <w:r>
        <w:t xml:space="preserve">The calculations are based on the specific parameters provided by fkmrugxnrj and supplemented by recognized industry-standard emission factors (e.g., from IEA, RTE, GLEC, and general LCA databases). Assumptions made for generic string parameters (like transport mode and distance, energy usage percentages, etc.) have been clearly stated. The lifecycle stages covered provide extensive coverage of Scope 3 emissions, including Purchased Goods and Services (Category 1), Upstream Transportation and Distribution (Category 4), Downstream Transportation and Distribution (Category 9), Use of Sold Products (Category 11), and End-of-Life Treatment of Sold Products (Category 12). This comprehensive approach ensures that at least 95% of required Scope 3 emissions are covered, aligning with the 2026 GHG Protocol requirements.</w:t>
      </w:r>
    </w:p>
    <w:bookmarkEnd w:id="45"/>
    <w:bookmarkStart w:id="46" w:name="application-of-2026-lsr-update"/>
    <w:p>
      <w:pPr>
        <w:pStyle w:val="Heading3"/>
      </w:pPr>
      <w:r>
        <w:t xml:space="preserve">5.3. Application of 2026 LSR Update</w:t>
      </w:r>
    </w:p>
    <w:p>
      <w:pPr>
        <w:pStyle w:val="FirstParagraph"/>
      </w:pPr>
      <w:r>
        <w:t xml:space="preserve">The GHG Protocol\'s Land Sector and Removals (LSR) Standard, effective January 1, 2027, focuses on accounting for land-based emissions and removals. While fxqwwxxvtr itself is not an agricultural or land-based product, the principles of the LSR Standard are conceptually applied in recognizing carbon removals or avoided emissions. Specifically, the recycling credits calculated in the End-of-Life phase reflect avoided virgin material production and its associated upstream impacts, which often include land-use change and resource extraction. The formal take-back programs (`melwmoilnj`) further enhance the integrity of these removals by ensuring materials are indeed routed to appropriate recycling streams.</w:t>
      </w:r>
    </w:p>
    <w:p>
      <w:r>
        <w:pict>
          <v:rect style="width:0;height:1.5pt" o:hralign="center" o:hrstd="t" o:hr="t"/>
        </w:pict>
      </w:r>
    </w:p>
    <w:bookmarkEnd w:id="46"/>
    <w:bookmarkStart w:id="49" w:name="recommendations-for-fkmrugxnrj"/>
    <w:p>
      <w:pPr>
        <w:pStyle w:val="Heading3"/>
      </w:pPr>
      <w:r>
        <w:t xml:space="preserve">Recommendations for fkmrugxnrj:</w:t>
      </w:r>
    </w:p>
    <w:p>
      <w:pPr>
        <w:numPr>
          <w:ilvl w:val="0"/>
          <w:numId w:val="1008"/>
        </w:numPr>
        <w:pStyle w:val="Compact"/>
      </w:pPr>
      <w:r>
        <w:rPr>
          <w:bCs/>
          <w:b/>
        </w:rPr>
        <w:t xml:space="preserve">Focus on Use Phase Efficiency:</w:t>
      </w:r>
      <w:r>
        <w:t xml:space="preserve"> </w:t>
      </w:r>
      <w:r>
        <w:t xml:space="preserve">Given the dominance of the Use Phase, explore opportunities to further reduce energy consumption during product operation. This could include developing more energy-efficient models or providing guidance to end-users on optimizing usage.</w:t>
      </w:r>
    </w:p>
    <w:p>
      <w:pPr>
        <w:numPr>
          <w:ilvl w:val="0"/>
          <w:numId w:val="1008"/>
        </w:numPr>
        <w:pStyle w:val="Compact"/>
      </w:pPr>
      <w:r>
        <w:rPr>
          <w:bCs/>
          <w:b/>
        </w:rPr>
        <w:t xml:space="preserve">Supplier Engagement for Raw Materials:</w:t>
      </w:r>
      <w:r>
        <w:t xml:space="preserve"> </w:t>
      </w:r>
      <w:r>
        <w:t xml:space="preserve">Work with suppliers to identify and procure lower-carbon materials or components. This could involve promoting renewable energy use in supplier manufacturing, optimizing material efficiency, or exploring alternative low-impact materials.</w:t>
      </w:r>
    </w:p>
    <w:p>
      <w:pPr>
        <w:numPr>
          <w:ilvl w:val="0"/>
          <w:numId w:val="1008"/>
        </w:numPr>
        <w:pStyle w:val="Compact"/>
      </w:pPr>
      <w:r>
        <w:rPr>
          <w:bCs/>
          <w:b/>
        </w:rPr>
        <w:t xml:space="preserve">Enhance Circularity:</w:t>
      </w:r>
      <w:r>
        <w:t xml:space="preserve"> </w:t>
      </w:r>
      <w:r>
        <w:t xml:space="preserve">Continue to strengthen circular economy initiatives. While recyclability is high, further investigate opportunities for product longevity, repairability, and material loops beyond single-product recycling.</w:t>
      </w:r>
    </w:p>
    <w:p>
      <w:pPr>
        <w:numPr>
          <w:ilvl w:val="0"/>
          <w:numId w:val="1008"/>
        </w:numPr>
        <w:pStyle w:val="Compact"/>
      </w:pPr>
      <w:r>
        <w:rPr>
          <w:bCs/>
          <w:b/>
        </w:rPr>
        <w:t xml:space="preserve">Data Refinement:</w:t>
      </w:r>
      <w:r>
        <w:t xml:space="preserve"> </w:t>
      </w:r>
      <w:r>
        <w:t xml:space="preserve">Where possible, collect primary data for all lifecycle stages, especially for Scope 3 categories, to improve the accuracy and robustness of future PCF analyses. This aligns with the GHG Protocol\'s 2026 emphasis on data disaggregation.</w:t>
      </w:r>
    </w:p>
    <w:p>
      <w:pPr>
        <w:pStyle w:val="FirstParagraph"/>
      </w:pPr>
      <w:r>
        <w:t xml:space="preserve">Confidential - Internal Use Only | Page</w:t>
      </w:r>
      <w:r>
        <w:t xml:space="preserve"> </w:t>
      </w:r>
      <w:bookmarkStart w:id="47" w:name="pageNumber"/>
      <w:bookmarkEnd w:id="47"/>
      <w:r>
        <w:t xml:space="preserve"> </w:t>
      </w:r>
      <w:r>
        <w:t xml:space="preserve">of</w:t>
      </w:r>
      <w:r>
        <w:t xml:space="preserve"> </w:t>
      </w:r>
      <w:bookmarkStart w:id="48" w:name="totalPages"/>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fxqwwxxvtr</dc:title>
  <dc:creator/>
  <dc:description>High-detail Product Carbon Footprint (PCF) analysis for fxqwwxxvtr, adhering to GHG Protocol standards and 2026 updates, conducted by ptylfgrrzl for fkmrugxnrj.</dc:description>
  <dc:language>en</dc:language>
  <cp:keywords/>
  <dcterms:created xsi:type="dcterms:W3CDTF">2026-07-15T09:11:32Z</dcterms:created>
  <dcterms:modified xsi:type="dcterms:W3CDTF">2026-07-15T09:11:32Z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