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fxpvmqydrl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fxpvmqydrl</w:t>
      </w:r>
    </w:p>
    <w:p>
      <w:pPr>
        <w:pStyle w:val="BodyText"/>
      </w:pPr>
      <w:r>
        <w:rPr>
          <w:bCs/>
          <w:b/>
        </w:rPr>
        <w:t xml:space="preserve">Company Name:</w:t>
      </w:r>
      <w:r>
        <w:t xml:space="preserve"> </w:t>
      </w:r>
      <w:r>
        <w:t xml:space="preserve">rvikgeshxf</w:t>
      </w:r>
    </w:p>
    <w:p>
      <w:pPr>
        <w:pStyle w:val="BodyText"/>
      </w:pPr>
      <w:r>
        <w:rPr>
          <w:bCs/>
          <w:b/>
        </w:rPr>
        <w:t xml:space="preserve">Senior Sustainability Consultant:</w:t>
      </w:r>
      <w:r>
        <w:t xml:space="preserve"> </w:t>
      </w:r>
      <w:r>
        <w:t xml:space="preserve">ijdkehvrik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For precise calculations, primary data collection for all supply chain stages is recommended.</w:t>
      </w:r>
    </w:p>
    <w:bookmarkEnd w:id="20"/>
    <w:bookmarkStart w:id="21" w:name="X003cdbfb0bace82362d7ee8488d0de8f4d26ce4"/>
    <w:p>
      <w:pPr>
        <w:pStyle w:val="Heading1"/>
      </w:pPr>
      <w:r>
        <w:t xml:space="preserve">Product Carbon Footprint (PCF) Analysis Report: fxpvmqydrl</w:t>
      </w:r>
    </w:p>
    <w:p>
      <w:pPr>
        <w:pStyle w:val="FirstParagraph"/>
      </w:pPr>
      <w:r>
        <w:t xml:space="preserve">Generated Date: June 2,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\'fxpvmqydrl\', manufactured by \'rvikgeshxf\'. The analysis was conducted by \'ijdkehvrik\', Senior Sustainability Consultant, adhering to the GHG Protocol accounting standard. The primary objective is to quantify the greenhouse gas (GHG) emissions associated with the product\'s lifecycle, identify emission hotspots, and provide a foundation for targeted reduction strategies. The report incorporates detailed Bill of Materials (BOM) data, specific logistics, energy customization, use phase, and End-of-Life (EoL) scenarios to provide a comprehensive assessment.</w:t>
      </w:r>
    </w:p>
    <w:p>
      <w:r>
        <w:pict>
          <v:rect style="width:0;height:1.5pt" o:hralign="center" o:hrstd="t" o:hr="t"/>
        </w:pict>
      </w:r>
    </w:p>
    <w:bookmarkEnd w:id="22"/>
    <w:bookmarkStart w:id="28"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analysis strictly adheres to the **GHG Protocol** standards, ensuring robust and transparent quantification of emissions across the product\'s lifecycle. Emissions are categorized into Scope 1 (direct emissions from owned or controlled sources), Scope 2 (indirect emissions from the generation of purchased energy), and Scope 3 (all other indirect emissions that occur in the value chain, both upstream and downstream).</w:t>
      </w:r>
    </w:p>
    <w:p>
      <w:pPr>
        <w:pStyle w:val="BodyText"/>
      </w:pPr>
      <w:r>
        <w:t xml:space="preserve">In line with **2026 LSR Update** requirements, potential land sector and removal impacts would be considered where relevant and quantifiable. For Scope 3 reporting, a minimum of 95% coverage is targeted, as per 2026 compliance requirements, to ensure comprehensive value chain emission accounting.</w:t>
      </w:r>
    </w:p>
    <w:bookmarkEnd w:id="23"/>
    <w:bookmarkStart w:id="24" w:name="functional-unit"/>
    <w:p>
      <w:pPr>
        <w:pStyle w:val="Heading3"/>
      </w:pPr>
      <w:r>
        <w:t xml:space="preserve">2.2. Functional Unit</w:t>
      </w:r>
    </w:p>
    <w:p>
      <w:pPr>
        <w:pStyle w:val="FirstParagraph"/>
      </w:pPr>
      <w:r>
        <w:t xml:space="preserve">The defined functional unit for this analysis is **1.0 unit** of \'fxpvmqydrl\'. This unit serves as the reference basis for all quantified environmental impacts, allowing for consistent comparisons and interpretations.</w:t>
      </w:r>
    </w:p>
    <w:bookmarkEnd w:id="24"/>
    <w:bookmarkStart w:id="25" w:name="system-boundary"/>
    <w:p>
      <w:pPr>
        <w:pStyle w:val="Heading3"/>
      </w:pPr>
      <w:r>
        <w:t xml:space="preserve">2.3. System Boundary</w:t>
      </w:r>
    </w:p>
    <w:p>
      <w:pPr>
        <w:pStyle w:val="FirstParagraph"/>
      </w:pPr>
      <w:r>
        <w:t xml:space="preserve">The system boundary for this PCF analysis is defined as **factory_gate**. This encompasses all upstream activities, including raw material extraction, material processing, manufacturing of components, and transportation to the final production facility. It also includes the production phase at the \'rvikgeshxf\' factory. While the primary boundary is \'factory_gate\', the analysis further extends to cover the use phase and End-of-Life scenarios as per specific parameter requirements, providing a more holistic "cradle-to-grave" perspective for comprehensive insights, even if parts fall outside the strict \'factory_gate\' for the final product exit.</w:t>
      </w:r>
    </w:p>
    <w:bookmarkEnd w:id="25"/>
    <w:bookmarkStart w:id="26" w:name="geographic-scope"/>
    <w:p>
      <w:pPr>
        <w:pStyle w:val="Heading3"/>
      </w:pPr>
      <w:r>
        <w:t xml:space="preserve">2.4. Geographic Scope</w:t>
      </w:r>
    </w:p>
    <w:p>
      <w:pPr>
        <w:pStyle w:val="FirstParagraph"/>
      </w:pPr>
      <w:r>
        <w:t xml:space="preserve">The **Final Production Country** is **China**. The **Supply Chain Focus** is **Europe Focused**, indicating that upstream material and component sourcing, as well as downstream distribution and use, often relate to European contexts. This influences the selection of regional emission factors for relevant lifecycle stages.</w:t>
      </w:r>
    </w:p>
    <w:bookmarkEnd w:id="26"/>
    <w:bookmarkStart w:id="27" w:name="allocation"/>
    <w:p>
      <w:pPr>
        <w:pStyle w:val="Heading3"/>
      </w:pPr>
      <w:r>
        <w:t xml:space="preserve">2.5. Allocation</w:t>
      </w:r>
    </w:p>
    <w:p>
      <w:pPr>
        <w:pStyle w:val="FirstParagraph"/>
      </w:pPr>
      <w:r>
        <w:t xml:space="preserve">Emissions are allocated directly to the functional unit (1.0 unit of \'fxpvmqydrl\'). Where co-production or multi-output processes occur, allocation is performed based on scientifically sound and consistently applied methods, such as mass or economic allocation, to ensure accuracy and avoid double-counting.</w:t>
      </w:r>
    </w:p>
    <w:p>
      <w:r>
        <w:pict>
          <v:rect style="width:0;height:1.5pt" o:hralign="center" o:hrstd="t" o:hr="t"/>
        </w:pict>
      </w:r>
    </w:p>
    <w:bookmarkEnd w:id="27"/>
    <w:bookmarkEnd w:id="28"/>
    <w:bookmarkStart w:id="34" w:name="lifecycle-inventory-lci-data-collection"/>
    <w:p>
      <w:pPr>
        <w:pStyle w:val="Heading2"/>
      </w:pPr>
      <w:r>
        <w:t xml:space="preserve">3. Lifecycle Inventory (LCI) &amp; Data Collection</w:t>
      </w:r>
    </w:p>
    <w:bookmarkStart w:id="29" w:name="X396531b6100caf6bc82a3042f0afeaca6b957a1"/>
    <w:p>
      <w:pPr>
        <w:pStyle w:val="Heading3"/>
      </w:pPr>
      <w:r>
        <w:t xml:space="preserve">3.1. Detailed Bill of Materials (BOM) - ridvsvyu</w:t>
      </w:r>
    </w:p>
    <w:p>
      <w:pPr>
        <w:pStyle w:val="FirstParagraph"/>
      </w:pPr>
      <w:r>
        <w:t xml:space="preserve">The material impact calculation for \'fxpvmqydrl\' is based on the provided detailed Bill of Materials (BOM): ridvsvyu. This high-accuracy data allows for a granular assessment of raw material and component contributions to the overall footprint. The following table presents the illustrative BOM data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 or 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Granule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M3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12.0 (per unit)</w:t>
            </w:r>
          </w:p>
        </w:tc>
        <w:tc>
          <w:tcPr/>
          <w:p>
            <w:pPr>
              <w:pStyle w:val="Compact"/>
              <w:jc w:val="left"/>
            </w:pPr>
            <w:r>
              <w:t xml:space="preserve">1.2</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M5</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w:t>
            </w:r>
          </w:p>
        </w:tc>
        <w:tc>
          <w:tcPr/>
          <w:p>
            <w:pPr>
              <w:pStyle w:val="Compact"/>
              <w:jc w:val="left"/>
            </w:pPr>
            <w:r>
              <w:t xml:space="preserve">0.225</w:t>
            </w:r>
          </w:p>
        </w:tc>
      </w:tr>
      <w:tr>
        <w:tc>
          <w:tcPr/>
          <w:p>
            <w:pPr>
              <w:pStyle w:val="Compact"/>
              <w:jc w:val="left"/>
            </w:pPr>
            <w:r>
              <w:t xml:space="preserve">M6</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8.0 (per unit)</w:t>
            </w:r>
          </w:p>
        </w:tc>
        <w:tc>
          <w:tcPr/>
          <w:p>
            <w:pPr>
              <w:pStyle w:val="Compact"/>
              <w:jc w:val="left"/>
            </w:pPr>
            <w:r>
              <w:t xml:space="preserve">0.4</w:t>
            </w:r>
          </w:p>
        </w:tc>
      </w:tr>
    </w:tbl>
    <w:p>
      <w:pPr>
        <w:pStyle w:val="BodyText"/>
      </w:pPr>
      <w:r>
        <w:t xml:space="preserve">Total raw material and component emissions (Scope 3, Upstream): 3.5 + 0.5 + 1.2 + 0.3 + 0.225 + 0.4 = 6.125 kgCO2e.</w:t>
      </w:r>
    </w:p>
    <w:bookmarkEnd w:id="29"/>
    <w:bookmarkStart w:id="30" w:name="energy-inputs-production-phase"/>
    <w:p>
      <w:pPr>
        <w:pStyle w:val="Heading3"/>
      </w:pPr>
      <w:r>
        <w:t xml:space="preserve">3.2. Energy Inputs (Production Phase)</w:t>
      </w:r>
    </w:p>
    <w:p>
      <w:pPr>
        <w:numPr>
          <w:ilvl w:val="0"/>
          <w:numId w:val="1001"/>
        </w:numPr>
        <w:pStyle w:val="Compact"/>
      </w:pPr>
      <w:r>
        <w:t xml:space="preserve">**Energy Intensity (kWh/unit):** jxwssmoqdt</w:t>
      </w:r>
    </w:p>
    <w:p>
      <w:pPr>
        <w:numPr>
          <w:ilvl w:val="0"/>
          <w:numId w:val="1001"/>
        </w:numPr>
        <w:pStyle w:val="Compact"/>
      </w:pPr>
      <w:r>
        <w:t xml:space="preserve">**Renewable Energy Usage:** xkqldqdqle</w:t>
      </w:r>
    </w:p>
    <w:p>
      <w:pPr>
        <w:numPr>
          <w:ilvl w:val="0"/>
          <w:numId w:val="1001"/>
        </w:numPr>
        <w:pStyle w:val="Compact"/>
      </w:pPr>
      <w:r>
        <w:rPr>
          <w:bCs/>
          <w:b/>
        </w:rPr>
        <w:t xml:space="preserve">Geographic Location (Production):</w:t>
      </w:r>
      <w:r>
        <w:t xml:space="preserve"> </w:t>
      </w:r>
      <w:r>
        <w:t xml:space="preserve">China</w:t>
      </w:r>
    </w:p>
    <w:p>
      <w:pPr>
        <w:pStyle w:val="FirstParagraph"/>
      </w:pPr>
      <w:r>
        <w:t xml:space="preserve">For calculation purposes, assuming \'jxwssmoqdt\' represents total kWh/unit and \'xkqldqdqle\' specifies the percentage of this energy coming from renewable sources. If \'xkqldqdqle\' is not a quantifiable percentage, a conservative assumption (e.g., 0% renewable) would typically be applied for initial calculation. For illustrative purposes, we will assume \'jxwssmoqdt\' is 15 kWh/unit and \'xkqldqdqle\' implies 0% renewable energy for the grid-supplied portion of electricity, with specific data needed for precise calculation of the renewable energy impact.</w:t>
      </w:r>
    </w:p>
    <w:p>
      <w:pPr>
        <w:pStyle w:val="BodyText"/>
      </w:pPr>
      <w:r>
        <w:t xml:space="preserve">China Electricity Grid Emission Factor (illustrative): 0.6093 kgCO2e/kWh (IEA 2021 average).</w:t>
      </w:r>
    </w:p>
    <w:p>
      <w:pPr>
        <w:pStyle w:val="BodyText"/>
      </w:pPr>
      <w:r>
        <w:t xml:space="preserve">Production Energy Emissions (Scope 2): (15 kWh/unit * 0.6093 kgCO2e/kWh) = 9.1395 kgCO2e. (This assumes 0% renewable energy for the purchased electricity portion, if xkqldqdqle is not quantifiable as a percentage. Actual renewable energy usage as specified by \'xkqldqdqle\' would reduce this figure).</w:t>
      </w:r>
    </w:p>
    <w:bookmarkEnd w:id="30"/>
    <w:bookmarkStart w:id="31" w:name="logistics-data-transport"/>
    <w:p>
      <w:pPr>
        <w:pStyle w:val="Heading3"/>
      </w:pPr>
      <w:r>
        <w:t xml:space="preserve">3.3. Logistics Data (Transport)</w:t>
      </w:r>
    </w:p>
    <w:p>
      <w:pPr>
        <w:numPr>
          <w:ilvl w:val="0"/>
          <w:numId w:val="1002"/>
        </w:numPr>
        <w:pStyle w:val="Compact"/>
      </w:pPr>
      <w:r>
        <w:t xml:space="preserve">**Transport Mode:** Select Mode</w:t>
      </w:r>
    </w:p>
    <w:p>
      <w:pPr>
        <w:numPr>
          <w:ilvl w:val="0"/>
          <w:numId w:val="1002"/>
        </w:numPr>
        <w:pStyle w:val="Compact"/>
      </w:pPr>
      <w:r>
        <w:t xml:space="preserve">**Transport Distance:** jkkwpfhfum</w:t>
      </w:r>
    </w:p>
    <w:p>
      <w:pPr>
        <w:numPr>
          <w:ilvl w:val="0"/>
          <w:numId w:val="1002"/>
        </w:numPr>
        <w:pStyle w:val="Compact"/>
      </w:pPr>
      <w:r>
        <w:t xml:space="preserve">**Last-Mile Delivery Channel:** Delivery Type</w:t>
      </w:r>
    </w:p>
    <w:p>
      <w:pPr>
        <w:pStyle w:val="FirstParagraph"/>
      </w:pPr>
      <w:r>
        <w:t xml:space="preserve">For illustrative calculation, assuming the total product mass is approximately 1.1 kg (from BOM summation). If \'Select Mode\' refers to road freight, and \'jkkwpfhfum\' is a distance, e.g., 2000 km for raw material transport (upstream) and 1000 km for distribution (downstream), and \'Delivery Type\' uses the same mode.</w:t>
      </w:r>
    </w:p>
    <w:p>
      <w:pPr>
        <w:pStyle w:val="BodyText"/>
      </w:pPr>
      <w:r>
        <w:t xml:space="preserve">Road Freight Emission Factor (illustrative): 0.062 kg CO2e/tonne-km.</w:t>
      </w:r>
    </w:p>
    <w:p>
      <w:pPr>
        <w:pStyle w:val="BodyText"/>
      </w:pPr>
      <w:r>
        <w:t xml:space="preserve">Upstream Transport Emissions (Scope 3, Upstream - e.g., raw materials to factory): (1.1 kg / 1000 kg/tonne) * 2000 km * 0.062 kgCO2e/tonne-km = 0.1364 kgCO2e.</w:t>
      </w:r>
    </w:p>
    <w:p>
      <w:pPr>
        <w:pStyle w:val="BodyText"/>
      </w:pPr>
      <w:r>
        <w:t xml:space="preserve">Downstream Transport Emissions (Scope 3, Downstream - e.g., factory to distribution, last-mile): (1.1 kg / 1000 kg/tonne) * 1000 km * 0.062 kgCO2e/tonne-km = 0.0682 kgCO2e.</w:t>
      </w:r>
    </w:p>
    <w:p>
      <w:pPr>
        <w:pStyle w:val="BodyText"/>
      </w:pPr>
      <w:r>
        <w:t xml:space="preserve">Total Transport Emissions (Scope 3): 0.1364 + 0.0682 = 0.2046 kgCO2e.</w:t>
      </w:r>
    </w:p>
    <w:bookmarkEnd w:id="31"/>
    <w:bookmarkStart w:id="32" w:name="use-phase-data"/>
    <w:p>
      <w:pPr>
        <w:pStyle w:val="Heading3"/>
      </w:pPr>
      <w:r>
        <w:t xml:space="preserve">3.4. Use Phase Data</w:t>
      </w:r>
    </w:p>
    <w:p>
      <w:pPr>
        <w:numPr>
          <w:ilvl w:val="0"/>
          <w:numId w:val="1003"/>
        </w:numPr>
        <w:pStyle w:val="Compact"/>
      </w:pPr>
      <w:r>
        <w:t xml:space="preserve">**Product Lifespan:** nemzfiikuy</w:t>
      </w:r>
    </w:p>
    <w:p>
      <w:pPr>
        <w:numPr>
          <w:ilvl w:val="0"/>
          <w:numId w:val="1003"/>
        </w:numPr>
        <w:pStyle w:val="Compact"/>
      </w:pPr>
      <w:r>
        <w:t xml:space="preserve">**Energy Consumption in Use:** uypdgstkkr</w:t>
      </w:r>
    </w:p>
    <w:p>
      <w:pPr>
        <w:pStyle w:val="FirstParagraph"/>
      </w:pPr>
      <w:r>
        <w:t xml:space="preserve">Assuming \'nemzfiikuy\' is 5 years and \'uypdgstkkr\' is 50 kWh over the product\'s lifespan. Since the supply chain focus is Europe, we\'ll use a European electricity grid emission factor for the use phase.</w:t>
      </w:r>
    </w:p>
    <w:p>
      <w:pPr>
        <w:pStyle w:val="BodyText"/>
      </w:pPr>
      <w:r>
        <w:t xml:space="preserve">Europe Electricity Grid Emission Factor (illustrative): 0.2883 kgCO2e/kWh (EU-27 average 2021).</w:t>
      </w:r>
    </w:p>
    <w:p>
      <w:pPr>
        <w:pStyle w:val="BodyText"/>
      </w:pPr>
      <w:r>
        <w:t xml:space="preserve">Use Phase Emissions (Scope 3, Downstream): 50 kWh * 0.2883 kgCO2e/kWh = 14.415 kgCO2e.</w:t>
      </w:r>
    </w:p>
    <w:bookmarkEnd w:id="32"/>
    <w:bookmarkStart w:id="33" w:name="end-of-life-eol-scenarios"/>
    <w:p>
      <w:pPr>
        <w:pStyle w:val="Heading3"/>
      </w:pPr>
      <w:r>
        <w:t xml:space="preserve">3.5. End-of-Life (EoL) Scenarios</w:t>
      </w:r>
    </w:p>
    <w:p>
      <w:pPr>
        <w:numPr>
          <w:ilvl w:val="0"/>
          <w:numId w:val="1004"/>
        </w:numPr>
        <w:pStyle w:val="Compact"/>
      </w:pPr>
      <w:r>
        <w:t xml:space="preserve">**Recyclability Percentage:** ztwliwerzy</w:t>
      </w:r>
    </w:p>
    <w:p>
      <w:pPr>
        <w:numPr>
          <w:ilvl w:val="0"/>
          <w:numId w:val="1004"/>
        </w:numPr>
        <w:pStyle w:val="Compact"/>
      </w:pPr>
      <w:r>
        <w:t xml:space="preserve">**Circular/Take-back Programs:** oruvrzvptf</w:t>
      </w:r>
    </w:p>
    <w:p>
      <w:pPr>
        <w:pStyle w:val="FirstParagraph"/>
      </w:pPr>
      <w:r>
        <w:t xml:space="preserve">Assuming \'ztwliwerzy\' is 80% and \'oruvrzvptf\' are active. For illustrative purposes, if 20% of the product goes to landfill and 80% is recycled, the EoL emissions can be estimated. For a complete EoL calculation, specific emission factors for recycling processes, landfilling, and incineration would be needed for each material type. Qualitatively, high recyclability and circular programs significantly reduce EoL emissions compared to a linear model.</w:t>
      </w:r>
    </w:p>
    <w:p>
      <w:pPr>
        <w:pStyle w:val="BodyText"/>
      </w:pPr>
      <w:r>
        <w:t xml:space="preserve">Without specific EFs for `ztwliwerzy` and `oruvrzvptf` for quantitative calculation of EoL impact, we will state that a comprehensive EoL assessment would factor in avoided emissions from recycling and emissions from disposal, applying a credit system for circularity. For a simplified illustrative calculation, we assume an initial EoL burden for the un-recycled portion.</w:t>
      </w:r>
    </w:p>
    <w:p>
      <w:pPr>
        <w:pStyle w:val="BodyText"/>
      </w:pPr>
      <w:r>
        <w:t xml:space="preserve">Total Product Mass (excluding packaging) = 0.5 + 0.2 + 0.1 + 0.1 + 0.05 = 0.95 kg.</w:t>
      </w:r>
    </w:p>
    <w:p>
      <w:pPr>
        <w:pStyle w:val="BodyText"/>
      </w:pPr>
      <w:r>
        <w:t xml:space="preserve">Assuming landfill EF for mixed waste: 0.1 kgCO2e/kg (illustrative).</w:t>
      </w:r>
    </w:p>
    <w:p>
      <w:pPr>
        <w:pStyle w:val="BodyText"/>
      </w:pPr>
      <w:r>
        <w:t xml:space="preserve">EoL Emissions (Scope 3, Downstream - for 20% non-recycled portion): 0.95 kg * (1 - 0.80) * 0.1 kgCO2e/kg = 0.019 kgCO2e.</w:t>
      </w:r>
    </w:p>
    <w:p>
      <w:pPr>
        <w:pStyle w:val="BodyText"/>
      </w:pPr>
      <w:r>
        <w:t xml:space="preserve">The presence of \'ztwliwerzy\' and \'oruvrzvptf\' implies significant efforts to mitigate EoL impacts, potentially leading to net negative emissions in this phase due to material recovery, but this requires detailed avoided emissions calculations.</w:t>
      </w:r>
    </w:p>
    <w:p>
      <w:r>
        <w:pict>
          <v:rect style="width:0;height:1.5pt" o:hralign="center" o:hrstd="t" o:hr="t"/>
        </w:pict>
      </w:r>
    </w:p>
    <w:bookmarkEnd w:id="33"/>
    <w:bookmarkEnd w:id="34"/>
    <w:bookmarkStart w:id="37" w:name="X439a6e6dcb43c636bf515ffaf3f59bce0bd6490"/>
    <w:p>
      <w:pPr>
        <w:pStyle w:val="Heading2"/>
      </w:pPr>
      <w:r>
        <w:t xml:space="preserve">4. Emission Calculation (Activity * Emission Factor = CO2e)</w:t>
      </w:r>
    </w:p>
    <w:p>
      <w:pPr>
        <w:pStyle w:val="FirstParagraph"/>
      </w:pPr>
      <w:r>
        <w:t xml:space="preserve">Based on the defined scope and collected (or illustrative) data, the Product Carbon Footprint for one functional unit of \'fxpvmqydrl\' is calculated as follows:</w:t>
      </w:r>
    </w:p>
    <w:bookmarkStart w:id="35" w:name="total-pcf-summary"/>
    <w:p>
      <w:pPr>
        <w:pStyle w:val="Heading3"/>
      </w:pPr>
      <w:r>
        <w:t xml:space="preserve">4.1. Total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Illustrative Emissions (kgCO2e/functional unit)</w:t>
            </w:r>
          </w:p>
        </w:tc>
      </w:tr>
      <w:tr>
        <w:tc>
          <w:tcPr/>
          <w:p>
            <w:pPr>
              <w:pStyle w:val="Compact"/>
              <w:jc w:val="left"/>
            </w:pPr>
            <w:r>
              <w:t xml:space="preserve">Materials Acquisition &amp; Pre-processing (from BOM)</w:t>
            </w:r>
          </w:p>
        </w:tc>
        <w:tc>
          <w:tcPr/>
          <w:p>
            <w:pPr>
              <w:pStyle w:val="Compact"/>
              <w:jc w:val="left"/>
            </w:pPr>
            <w:r>
              <w:t xml:space="preserve">Scope 3 (Upstream)</w:t>
            </w:r>
          </w:p>
        </w:tc>
        <w:tc>
          <w:tcPr/>
          <w:p>
            <w:pPr>
              <w:pStyle w:val="Compact"/>
              <w:jc w:val="left"/>
            </w:pPr>
            <w:r>
              <w:t xml:space="preserve">6.125</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9.1395</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0.2046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14.415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0.019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29.9031</w:t>
            </w:r>
          </w:p>
        </w:tc>
      </w:tr>
    </w:tbl>
    <w:bookmarkEnd w:id="35"/>
    <w:bookmarkStart w:id="36" w:name="detailed-scope-wise-breakdown"/>
    <w:p>
      <w:pPr>
        <w:pStyle w:val="Heading3"/>
      </w:pPr>
      <w:r>
        <w:t xml:space="preserve">4.2. Detailed Scope-wise Breakdown</w:t>
      </w:r>
    </w:p>
    <w:p>
      <w:pPr>
        <w:pStyle w:val="FirstParagraph"/>
      </w:pPr>
      <w:r>
        <w:t xml:space="preserve">As per GHG Protocol, emissions are categorized:</w:t>
      </w:r>
    </w:p>
    <w:p>
      <w:pPr>
        <w:numPr>
          <w:ilvl w:val="0"/>
          <w:numId w:val="1005"/>
        </w:numPr>
        <w:pStyle w:val="Compact"/>
      </w:pPr>
      <w:r>
        <w:rPr>
          <w:bCs/>
          <w:b/>
        </w:rPr>
        <w:t xml:space="preserve">Scope 1 Emissions:</w:t>
      </w:r>
      <w:r>
        <w:t xml:space="preserve"> </w:t>
      </w:r>
      <w:r>
        <w:t xml:space="preserve">Direct emissions from owned or controlled sources. (Not explicitly quantified with provided parameters, assumed negligible or included in upstream/downstream for this product\'s lifecycle based on a \'factory_gate\' boundary for main production).</w:t>
      </w:r>
    </w:p>
    <w:p>
      <w:pPr>
        <w:numPr>
          <w:ilvl w:val="0"/>
          <w:numId w:val="1005"/>
        </w:numPr>
        <w:pStyle w:val="Compact"/>
      </w:pPr>
      <w:r>
        <w:rPr>
          <w:bCs/>
          <w:b/>
        </w:rPr>
        <w:t xml:space="preserve">Scope 2 Emissions:</w:t>
      </w:r>
      <w:r>
        <w:t xml:space="preserve"> </w:t>
      </w:r>
      <w:r>
        <w:t xml:space="preserve">Indirect emissions from the generation of purchased energy.</w:t>
      </w:r>
    </w:p>
    <w:p>
      <w:pPr>
        <w:numPr>
          <w:ilvl w:val="0"/>
          <w:numId w:val="1005"/>
        </w:numPr>
        <w:pStyle w:val="Compact"/>
      </w:pPr>
      <w:r>
        <w:rPr>
          <w:bCs/>
          <w:b/>
        </w:rPr>
        <w:t xml:space="preserve">Scope 3 Emissions:</w:t>
      </w:r>
      <w:r>
        <w:t xml:space="preserve"> </w:t>
      </w:r>
      <w:r>
        <w:t xml:space="preserve">All other indirect emissions that occur in the value chain.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(kgCO2e/functional unit)</w:t>
            </w:r>
          </w:p>
        </w:tc>
        <w:tc>
          <w:tcPr/>
          <w:p>
            <w:pPr>
              <w:pStyle w:val="Compact"/>
              <w:jc w:val="left"/>
            </w:pPr>
            <w:r>
              <w:t xml:space="preserve">Contribution (%)</w:t>
            </w:r>
          </w:p>
        </w:tc>
      </w:tr>
      <w:tr>
        <w:tc>
          <w:tcPr/>
          <w:p>
            <w:pPr>
              <w:pStyle w:val="Compact"/>
              <w:jc w:val="left"/>
            </w:pPr>
            <w:r>
              <w:t xml:space="preserve">Scope 1 (Direct Operations)</w:t>
            </w:r>
          </w:p>
        </w:tc>
        <w:tc>
          <w:tcPr/>
          <w:p>
            <w:pPr>
              <w:pStyle w:val="Compact"/>
              <w:jc w:val="left"/>
            </w:pPr>
            <w:r>
              <w:t xml:space="preserve">0.00 (Assumed negligible for this product\'s factory_gate boundary where direct fuel combustion data is not provided)</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9.1395</w:t>
            </w:r>
          </w:p>
        </w:tc>
        <w:tc>
          <w:tcPr/>
          <w:p>
            <w:pPr>
              <w:pStyle w:val="Compact"/>
              <w:jc w:val="left"/>
            </w:pPr>
            <w:r>
              <w:t xml:space="preserve">30.56%</w:t>
            </w:r>
          </w:p>
        </w:tc>
      </w:tr>
      <w:tr>
        <w:tc>
          <w:tcPr/>
          <w:p>
            <w:pPr>
              <w:pStyle w:val="Compact"/>
              <w:jc w:val="left"/>
            </w:pPr>
            <w:r>
              <w:t xml:space="preserve">Scope 3 (Upstream - Materials, Upstream Transport)</w:t>
            </w:r>
          </w:p>
        </w:tc>
        <w:tc>
          <w:tcPr/>
          <w:p>
            <w:pPr>
              <w:pStyle w:val="Compact"/>
              <w:jc w:val="left"/>
            </w:pPr>
            <w:r>
              <w:t xml:space="preserve">6.125 (Materials) + 0.1364 (Upstream Transport) = 6.2614</w:t>
            </w:r>
          </w:p>
        </w:tc>
        <w:tc>
          <w:tcPr/>
          <w:p>
            <w:pPr>
              <w:pStyle w:val="Compact"/>
              <w:jc w:val="left"/>
            </w:pPr>
            <w:r>
              <w:t xml:space="preserve">20.94%</w:t>
            </w:r>
          </w:p>
        </w:tc>
      </w:tr>
      <w:tr>
        <w:tc>
          <w:tcPr/>
          <w:p>
            <w:pPr>
              <w:pStyle w:val="Compact"/>
              <w:jc w:val="left"/>
            </w:pPr>
            <w:r>
              <w:t xml:space="preserve">Scope 3 (Downstream - Downstream Transport, Use Phase, EoL)</w:t>
            </w:r>
          </w:p>
        </w:tc>
        <w:tc>
          <w:tcPr/>
          <w:p>
            <w:pPr>
              <w:pStyle w:val="Compact"/>
              <w:jc w:val="left"/>
            </w:pPr>
            <w:r>
              <w:t xml:space="preserve">0.0682 (Downstream Transport) + 14.415 (Use Phase) + 0.019 (EoL) = 14.5022</w:t>
            </w:r>
          </w:p>
        </w:tc>
        <w:tc>
          <w:tcPr/>
          <w:p>
            <w:pPr>
              <w:pStyle w:val="Compact"/>
              <w:jc w:val="left"/>
            </w:pPr>
            <w:r>
              <w:t xml:space="preserve">48.50%</w:t>
            </w:r>
          </w:p>
        </w:tc>
      </w:tr>
      <w:tr>
        <w:tc>
          <w:tcPr/>
          <w:p>
            <w:pPr>
              <w:pStyle w:val="Compact"/>
              <w:jc w:val="left"/>
            </w:pPr>
            <w:r>
              <w:rPr>
                <w:bCs/>
                <w:b/>
              </w:rPr>
              <w:t xml:space="preserve">Total PCF</w:t>
            </w:r>
          </w:p>
        </w:tc>
        <w:tc>
          <w:tcPr/>
          <w:p>
            <w:pPr>
              <w:pStyle w:val="Compact"/>
              <w:jc w:val="left"/>
            </w:pPr>
            <w:r>
              <w:rPr>
                <w:bCs/>
                <w:b/>
              </w:rPr>
              <w:t xml:space="preserve">29.9031</w:t>
            </w: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With the detailed BOM, transport, use phase, and EoL data, this analysis aims for comprehensive Scope 3 coverage. Based on the illustrative data, a significant portion of emissions falls under Scope 3, meeting the 2026 requirement for at least 95% coverage if all material and value chain impacts are fully represented in these categories.</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illustrative calculations, the primary emission hotspots for \'fxpvmqydrl\' are:</w:t>
      </w:r>
    </w:p>
    <w:p>
      <w:pPr>
        <w:numPr>
          <w:ilvl w:val="0"/>
          <w:numId w:val="1006"/>
        </w:numPr>
        <w:pStyle w:val="Compact"/>
      </w:pPr>
      <w:r>
        <w:t xml:space="preserve">**Use Phase (Scope 3, Downstream):** Contributing approximately 48.50% of the total PCF, primarily due to electricity consumption over the product\'s lifespan. This highlights the significant impact of user behavior and energy efficiency during product operation.</w:t>
      </w:r>
    </w:p>
    <w:p>
      <w:pPr>
        <w:numPr>
          <w:ilvl w:val="0"/>
          <w:numId w:val="1006"/>
        </w:numPr>
        <w:pStyle w:val="Compact"/>
      </w:pPr>
      <w:r>
        <w:t xml:space="preserve">**Manufacturing (Scope 2):** Accounting for about 30.56%, driven by purchased electricity for production in China. The carbon intensity of the local grid significantly influences this figure.</w:t>
      </w:r>
    </w:p>
    <w:p>
      <w:pPr>
        <w:numPr>
          <w:ilvl w:val="0"/>
          <w:numId w:val="1006"/>
        </w:numPr>
        <w:pStyle w:val="Compact"/>
      </w:pPr>
      <w:r>
        <w:t xml:space="preserve">**Materials Acquisition &amp; Pre-processing (Scope 3, Upstream):** Represents approximately 20.49% of the total footprint, indicating the importance of selecting lower-carbon materials and optimizing material usage.</w:t>
      </w:r>
    </w:p>
    <w:bookmarkEnd w:id="38"/>
    <w:bookmarkStart w:id="39" w:name="reliability-and-limitations"/>
    <w:p>
      <w:pPr>
        <w:pStyle w:val="Heading3"/>
      </w:pPr>
      <w:r>
        <w:t xml:space="preserve">5.2. Reliability and Limitations</w:t>
      </w:r>
    </w:p>
    <w:p>
      <w:pPr>
        <w:pStyle w:val="FirstParagraph"/>
      </w:pPr>
      <w:r>
        <w:t xml:space="preserve">The reliability of this PCF analysis is dependent on the accuracy and completeness of the provided data. While detailed BOM and specific operational parameters were provided as placeholders, the actual numerical values of these parameters (e.g., \'jxwssmoqdt\', \'xkqldqdqle\', \'jkkwpfhfum\', \'uypdgstkkr\', \'ztwliwerzy\') were assumed for calculation demonstration. The emission factors used for illustrative calculations are based on industry-standard sources (e.g., IEA, Climatiq for generic factors).</w:t>
      </w:r>
    </w:p>
    <w:p>
      <w:pPr>
        <w:pStyle w:val="BodyText"/>
      </w:pPr>
      <w:r>
        <w:t xml:space="preserve">Key limitations include:</w:t>
      </w:r>
    </w:p>
    <w:p>
      <w:pPr>
        <w:numPr>
          <w:ilvl w:val="0"/>
          <w:numId w:val="1007"/>
        </w:numPr>
        <w:pStyle w:val="Compact"/>
      </w:pPr>
      <w:r>
        <w:t xml:space="preserve">Reliance on placeholder data for specific parameters; actual numerical values are crucial for precise assessment.</w:t>
      </w:r>
    </w:p>
    <w:p>
      <w:pPr>
        <w:numPr>
          <w:ilvl w:val="0"/>
          <w:numId w:val="1007"/>
        </w:numPr>
        <w:pStyle w:val="Compact"/>
      </w:pPr>
      <w:r>
        <w:t xml:space="preserve">Generic emission factors were used where specific ones were not provided within the BOM structure for certain processes (e.g., transport, EoL activities).</w:t>
      </w:r>
    </w:p>
    <w:p>
      <w:pPr>
        <w:numPr>
          <w:ilvl w:val="0"/>
          <w:numId w:val="1007"/>
        </w:numPr>
        <w:pStyle w:val="Compact"/>
      </w:pPr>
      <w:r>
        <w:t xml:space="preserve">The qualitative assessment of \'Renewable Energy Usage: xkqldqdqle\' and \'Circular/Take-back Programs: oruvrzvptf\' needs to be converted into quantifiable data (e.g., specific percentages, kWh from renewables, material recovery rates) for precise impact calculation.</w:t>
      </w:r>
    </w:p>
    <w:p>
      <w:pPr>
        <w:numPr>
          <w:ilvl w:val="0"/>
          <w:numId w:val="1007"/>
        </w:numPr>
        <w:pStyle w:val="Compact"/>
      </w:pPr>
      <w:r>
        <w:t xml:space="preserve">For the \'factory_gate\' system boundary, downstream elements (use phase, EoL) are presented for completeness but would typically be treated separately or in an extended system boundary.</w:t>
      </w:r>
    </w:p>
    <w:bookmarkEnd w:id="39"/>
    <w:bookmarkStart w:id="40" w:name="recommendations-for-reduction"/>
    <w:p>
      <w:pPr>
        <w:pStyle w:val="Heading3"/>
      </w:pPr>
      <w:r>
        <w:t xml:space="preserve">5.3. Recommendations for Reduction</w:t>
      </w:r>
    </w:p>
    <w:p>
      <w:pPr>
        <w:numPr>
          <w:ilvl w:val="0"/>
          <w:numId w:val="1008"/>
        </w:numPr>
        <w:pStyle w:val="Compact"/>
      </w:pPr>
      <w:r>
        <w:rPr>
          <w:bCs/>
          <w:b/>
        </w:rPr>
        <w:t xml:space="preserve">Optimize Use Phase:</w:t>
      </w:r>
      <w:r>
        <w:t xml:space="preserve"> </w:t>
      </w:r>
      <w:r>
        <w:t xml:space="preserve">Invest in improving the energy efficiency of \'fxpvmqydrl\' during its operational lifespan. Explore design choices that reduce energy consumption or enable the use of renewable energy by end-users.</w:t>
      </w:r>
    </w:p>
    <w:p>
      <w:pPr>
        <w:numPr>
          <w:ilvl w:val="0"/>
          <w:numId w:val="1008"/>
        </w:numPr>
        <w:pStyle w:val="Compact"/>
      </w:pPr>
      <w:r>
        <w:rPr>
          <w:bCs/>
          <w:b/>
        </w:rPr>
        <w:t xml:space="preserve">Decarbonize Production:</w:t>
      </w:r>
      <w:r>
        <w:t xml:space="preserve"> </w:t>
      </w:r>
      <w:r>
        <w:t xml:space="preserve">Increase the percentage of renewable energy used in the production facility (quantify \'xkqldqdqle\'). Explore options for purchasing renewable energy certificates (RECs) or investing in on-site renewable energy generation.</w:t>
      </w:r>
    </w:p>
    <w:p>
      <w:pPr>
        <w:numPr>
          <w:ilvl w:val="0"/>
          <w:numId w:val="1008"/>
        </w:numPr>
        <w:pStyle w:val="Compact"/>
      </w:pPr>
      <w:r>
        <w:rPr>
          <w:bCs/>
          <w:b/>
        </w:rPr>
        <w:t xml:space="preserve">Material Optimization:</w:t>
      </w:r>
      <w:r>
        <w:t xml:space="preserve"> </w:t>
      </w:r>
      <w:r>
        <w:t xml:space="preserve">Investigate opportunities to use lower-carbon alternative materials, increase recycled content, and optimize material efficiency in manufacturing. The BOM \'ridvsvyu\' should be continuously evaluated for impact reduction.</w:t>
      </w:r>
    </w:p>
    <w:p>
      <w:pPr>
        <w:numPr>
          <w:ilvl w:val="0"/>
          <w:numId w:val="1008"/>
        </w:numPr>
        <w:pStyle w:val="Compact"/>
      </w:pPr>
      <w:r>
        <w:rPr>
          <w:bCs/>
          <w:b/>
        </w:rPr>
        <w:t xml:space="preserve">Logistics Efficiency:</w:t>
      </w:r>
      <w:r>
        <w:t xml:space="preserve"> </w:t>
      </w:r>
      <w:r>
        <w:t xml:space="preserve">Optimize transport routes, modes (\'Select Mode\', \'Delivery Type\'), and distances (\'jkkwpfhfum\') to reduce logistics-related emissions. Consider shifting to lower-emission transport modes where feasible.</w:t>
      </w:r>
    </w:p>
    <w:p>
      <w:pPr>
        <w:numPr>
          <w:ilvl w:val="0"/>
          <w:numId w:val="1008"/>
        </w:numPr>
        <w:pStyle w:val="Compact"/>
      </w:pPr>
      <w:r>
        <w:rPr>
          <w:bCs/>
          <w:b/>
        </w:rPr>
        <w:t xml:space="preserve">Enhance Circularity:</w:t>
      </w:r>
      <w:r>
        <w:t xml:space="preserve"> </w:t>
      </w:r>
      <w:r>
        <w:t xml:space="preserve">Develop and expand \'Circular/Take-back Programs: oruvrzvptf\' and maximize \'Recyclability Percentage: ztwliwerzy\' to further reduce End-of-Life impacts and promote a circular economy model.</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fxpvmqydrl</dc:title>
  <dc:creator/>
  <dc:description>Detailed Product Carbon Footprint (PCF) analysis report for fxpvmqydrl, performed by Senior Sustainability Consultant ijdkehvrik for rvikgeshxf, adhering to GHG Protocol standards and 2026 updates.</dc:description>
  <dc:language>en</dc:language>
  <cp:keywords/>
  <dcterms:created xsi:type="dcterms:W3CDTF">2026-07-15T02:54:32Z</dcterms:created>
  <dcterms:modified xsi:type="dcterms:W3CDTF">2026-07-15T02:54:32Z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