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fuindhqxey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fuindhqxey</w:t>
      </w:r>
    </w:p>
    <w:p>
      <w:pPr>
        <w:pStyle w:val="BodyText"/>
      </w:pPr>
      <w:r>
        <w:rPr>
          <w:bCs/>
          <w:b/>
        </w:rPr>
        <w:t xml:space="preserve">Company Name:</w:t>
      </w:r>
      <w:r>
        <w:t xml:space="preserve"> </w:t>
      </w:r>
      <w:r>
        <w:t xml:space="preserve">ivlftjizfp</w:t>
      </w:r>
    </w:p>
    <w:p>
      <w:pPr>
        <w:pStyle w:val="BodyText"/>
      </w:pPr>
      <w:r>
        <w:rPr>
          <w:bCs/>
          <w:b/>
        </w:rPr>
        <w:t xml:space="preserve">Senior Sustainability Consultant:</w:t>
      </w:r>
      <w:r>
        <w:t xml:space="preserve"> </w:t>
      </w:r>
      <w:r>
        <w:t xml:space="preserve">jslwxtiymf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some assumptions may be based on secondary data or industry averages where primary data was unavailable.</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fuindhqxey</w:t>
      </w:r>
    </w:p>
    <w:p>
      <w:pPr>
        <w:pStyle w:val="BodyText"/>
      </w:pPr>
      <w:r>
        <w:rPr>
          <w:bCs/>
          <w:b/>
        </w:rPr>
        <w:t xml:space="preserve">Company:</w:t>
      </w:r>
      <w:r>
        <w:t xml:space="preserve"> </w:t>
      </w:r>
      <w:r>
        <w:t xml:space="preserve">ivlftjizfp</w:t>
      </w:r>
    </w:p>
    <w:p>
      <w:pPr>
        <w:pStyle w:val="BodyText"/>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fuindhqxey, manufactured by ivlftjizfp. The analysis was conducted by Senior Sustainability Consultant jslwxtiymf, strictly adhering to the GHG Protocol\'s Product Standard and incorporating the 2026 Land Sector and Removals (LSR) Standard updates. The primary objective is to quantify the greenhouse gas emissions associated with fuindhqxey across its lifecycle, identify key emission hotspots, and provide a foundation for sustainability improvements. This assessment ensures at least 95% coverage for Scope 3 emissions, aligning with updated 2026 requirements for comprehensive value chain reporting.</w:t>
      </w:r>
    </w:p>
    <w:p>
      <w:r>
        <w:pict>
          <v:rect style="width:0;height:1.5pt" o:hralign="center" o:hrstd="t" o:hr="t"/>
        </w:pict>
      </w:r>
    </w:p>
    <w:bookmarkEnd w:id="22"/>
    <w:bookmarkStart w:id="30" w:name="methodology-and-scope-definition"/>
    <w:p>
      <w:pPr>
        <w:pStyle w:val="Heading2"/>
      </w:pPr>
      <w:r>
        <w:t xml:space="preserve">2. Methodology and Scope Definition</w:t>
      </w:r>
    </w:p>
    <w:p>
      <w:pPr>
        <w:pStyle w:val="FirstParagraph"/>
      </w:pPr>
      <w:r>
        <w:t xml:space="preserve">The Product Carbon Footprint (PCF) for fuindhqxey was calculated following the five-step methodology recommended by the GHG Protocol Product Standard.</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w:t>
      </w:r>
      <w:r>
        <w:t xml:space="preserve"> </w:t>
      </w:r>
      <w:r>
        <w:t xml:space="preserve">of fuindhqxey. This unit serves as the reference basis for quantifying all input and output flows and associated emissions throughout the product\'s lifecycle.</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boundary includes all upstream processes (raw material extraction, processing, and transportation to the manufacturing facility) and the manufacturing processes within the ivlftjizfp factory gates. For comprehensive Scope 3 coverage, the analysis extends beyond the factory gate to include downstream transportation, the product\'s use phase, and its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key material and component sourcing from European suppliers, with final assembly in China).</w:t>
      </w:r>
    </w:p>
    <w:p>
      <w:pPr>
        <w:numPr>
          <w:ilvl w:val="0"/>
          <w:numId w:val="1001"/>
        </w:numPr>
        <w:pStyle w:val="Compact"/>
      </w:pPr>
      <w:r>
        <w:rPr>
          <w:bCs/>
          <w:b/>
        </w:rPr>
        <w:t xml:space="preserve">Allocation:</w:t>
      </w:r>
      <w:r>
        <w:t xml:space="preserve"> </w:t>
      </w:r>
      <w:r>
        <w:t xml:space="preserve">Emissions are allocated based on physical causality where possible. For co-products or multi-functional processes, mass-based allocation is applied. For end-of-life scenarios, the "recycled content" approach is used, attributing emissions to the initial production of virgin materials.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Consultant:</w:t>
      </w:r>
      <w:r>
        <w:t xml:space="preserve"> </w:t>
      </w:r>
      <w:r>
        <w:t xml:space="preserve">jslwxtiymf, Senior Sustainability Consultant.</w:t>
      </w:r>
    </w:p>
    <w:p>
      <w:pPr>
        <w:numPr>
          <w:ilvl w:val="0"/>
          <w:numId w:val="1001"/>
        </w:numPr>
        <w:pStyle w:val="Compact"/>
      </w:pPr>
      <w:r>
        <w:rPr>
          <w:bCs/>
          <w:b/>
        </w:rPr>
        <w:t xml:space="preserve">Company:</w:t>
      </w:r>
      <w:r>
        <w:t xml:space="preserve"> </w:t>
      </w:r>
      <w:r>
        <w:t xml:space="preserve">ivlftjizfp.</w:t>
      </w:r>
    </w:p>
    <w:bookmarkEnd w:id="23"/>
    <w:bookmarkStart w:id="29" w:name="step-2-3-map-lifecycle-and-collect-data"/>
    <w:p>
      <w:pPr>
        <w:pStyle w:val="Heading3"/>
      </w:pPr>
      <w:r>
        <w:t xml:space="preserve">2.2. Step 2 &amp; 3: Map Lifecycle and Collect Data</w:t>
      </w:r>
    </w:p>
    <w:p>
      <w:pPr>
        <w:pStyle w:val="FirstParagraph"/>
      </w:pPr>
      <w:r>
        <w:t xml:space="preserve">The lifecycle of fuindhqxey is mapped across five main stages, with data collected from primary sources provided by ivlftjizfp and secondary industry-standard databases where primary data was unavailable. This detailed breakdown ensures a robust understanding of material and energy inputs.</w:t>
      </w:r>
    </w:p>
    <w:bookmarkStart w:id="24" w:name="X77f6e5879214df0b89a9332db927aa2f934416f"/>
    <w:p>
      <w:pPr>
        <w:pStyle w:val="Heading4"/>
      </w:pPr>
      <w:r>
        <w:t xml:space="preserve">2.2.1. Materials Acquisition &amp; Pre-processing (Scope 3 - Category 1: Purchased goods and services)</w:t>
      </w:r>
    </w:p>
    <w:p>
      <w:pPr>
        <w:pStyle w:val="FirstParagraph"/>
      </w:pPr>
      <w:r>
        <w:t xml:space="preserve">The detailed Bill of Materials (BOM) for fuindhqxey (represented by the parameter `rjgzegej`) forms the basis for calculating raw material impacts. For the purpose of this report, we have constructed an illustrative BOM based on the specified format: ID, Description, Category, Process, Qty, Unit, Emission Factor (kgCO2e/unit), and Total Carbon (kgCO2e). In a live project, `rjgzegej` would be populated with actual, specific data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Polypropylene (PP)</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0.3</w:t>
            </w:r>
          </w:p>
        </w:tc>
        <w:tc>
          <w:tcPr/>
          <w:p>
            <w:pPr>
              <w:pStyle w:val="Compact"/>
              <w:jc w:val="left"/>
            </w:pPr>
            <w:r>
              <w:t xml:space="preserve">0.03</w:t>
            </w:r>
          </w:p>
        </w:tc>
      </w:tr>
    </w:tbl>
    <w:p>
      <w:pPr>
        <w:pStyle w:val="BodyText"/>
      </w:pPr>
      <w:r>
        <w:rPr>
          <w:bCs/>
          <w:b/>
        </w:rPr>
        <w:t xml:space="preserve">Note on BOM Data:</w:t>
      </w:r>
      <w:r>
        <w:t xml:space="preserve"> </w:t>
      </w:r>
      <w:r>
        <w:t xml:space="preserve">The "Total Carbon" column in the table above is calculated directly from the "Qty" and "Emission Factor" for each item, reflecting the high-accuracy material impact calculation requirement. Sum of Total Carbon from BOM: 9.13 kgCO2e.</w:t>
      </w:r>
    </w:p>
    <w:bookmarkEnd w:id="24"/>
    <w:bookmarkStart w:id="25" w:name="X6e53e2a966b3af79dc7f882c68020df2e8b3df8"/>
    <w:p>
      <w:pPr>
        <w:pStyle w:val="Heading4"/>
      </w:pPr>
      <w:r>
        <w:t xml:space="preserve">2.2.2. Production (Manufacturing at ivlftjizfp, China)</w:t>
      </w:r>
    </w:p>
    <w:p>
      <w:pPr>
        <w:pStyle w:val="FirstParagraph"/>
      </w:pPr>
      <w:r>
        <w:t xml:space="preserve">This stage accounts for direct (Scope 1) and indirect (Scope 2) emissions from the manufacturing processes.</w:t>
      </w:r>
    </w:p>
    <w:p>
      <w:pPr>
        <w:numPr>
          <w:ilvl w:val="0"/>
          <w:numId w:val="1003"/>
        </w:numPr>
        <w:pStyle w:val="Compact"/>
      </w:pPr>
      <w:r>
        <w:rPr>
          <w:bCs/>
          <w:b/>
        </w:rPr>
        <w:t xml:space="preserve">Energy Intensity (kWh/unit):</w:t>
      </w:r>
      <w:r>
        <w:t xml:space="preserve"> </w:t>
      </w:r>
      <w:r>
        <w:t xml:space="preserve">lmgekpiguv (e.g., 2.5 kWh/unit).</w:t>
      </w:r>
    </w:p>
    <w:p>
      <w:pPr>
        <w:numPr>
          <w:ilvl w:val="0"/>
          <w:numId w:val="1003"/>
        </w:numPr>
        <w:pStyle w:val="Compact"/>
      </w:pPr>
      <w:r>
        <w:rPr>
          <w:bCs/>
          <w:b/>
        </w:rPr>
        <w:t xml:space="preserve">Renewable Energy Usage:</w:t>
      </w:r>
      <w:r>
        <w:t xml:space="preserve"> </w:t>
      </w:r>
      <w:r>
        <w:t xml:space="preserve">ghdhwnfepd (e.g., 60%). This percentage represents the portion of the purchased electricity that comes from certified renewable sources.</w:t>
      </w:r>
    </w:p>
    <w:p>
      <w:pPr>
        <w:numPr>
          <w:ilvl w:val="0"/>
          <w:numId w:val="1003"/>
        </w:numPr>
        <w:pStyle w:val="Compact"/>
      </w:pPr>
      <w:r>
        <w:rPr>
          <w:bCs/>
          <w:b/>
        </w:rPr>
        <w:t xml:space="preserve">Electricity Grid Emission Factor (China):</w:t>
      </w:r>
      <w:r>
        <w:t xml:space="preserve"> </w:t>
      </w:r>
      <w:r>
        <w:t xml:space="preserve">An average emission factor of 0.60 kgCO2e/kWh is used for the non-renewable portion of electricity consumed in China.</w:t>
      </w:r>
    </w:p>
    <w:p>
      <w:pPr>
        <w:numPr>
          <w:ilvl w:val="0"/>
          <w:numId w:val="1003"/>
        </w:numPr>
        <w:pStyle w:val="Compact"/>
      </w:pPr>
      <w:r>
        <w:rPr>
          <w:bCs/>
          <w:b/>
        </w:rPr>
        <w:t xml:space="preserve">Scope 1 Emissions:</w:t>
      </w:r>
      <w:r>
        <w:t xml:space="preserve"> </w:t>
      </w:r>
      <w:r>
        <w:t xml:space="preserve">Direct fuel consumption for manufacturing processes, if any, will be accounted for here. For this analysis, assuming minimal direct fuel combustion at the factory, specific Scope 1 emissions related to stationary combustion are considered negligible unless further specified. Any direct emissions from company vehicles on-site are considered part of facility operations.</w:t>
      </w:r>
    </w:p>
    <w:bookmarkEnd w:id="25"/>
    <w:bookmarkStart w:id="26" w:name="X4f606081497d2bbe6500f3be9110725965dfe04"/>
    <w:p>
      <w:pPr>
        <w:pStyle w:val="Heading4"/>
      </w:pPr>
      <w:r>
        <w:t xml:space="preserve">2.2.3. Transport (Scope 3 - Categories 4 &amp; 9: Transportation and Distribution)</w:t>
      </w:r>
    </w:p>
    <w:p>
      <w:pPr>
        <w:pStyle w:val="FirstParagraph"/>
      </w:pPr>
      <w:r>
        <w:t xml:space="preserve">This includes transportation of raw materials to the factory (upstream) and finished products to the customer (downstream).</w:t>
      </w:r>
    </w:p>
    <w:p>
      <w:pPr>
        <w:numPr>
          <w:ilvl w:val="0"/>
          <w:numId w:val="1004"/>
        </w:numPr>
        <w:pStyle w:val="Compact"/>
      </w:pPr>
      <w:r>
        <w:rPr>
          <w:bCs/>
          <w:b/>
        </w:rPr>
        <w:t xml:space="preserve">Upstream Transport Mode:</w:t>
      </w:r>
      <w:r>
        <w:t xml:space="preserve"> </w:t>
      </w:r>
      <w:r>
        <w:t xml:space="preserve">Select Mode (e.g., Road freight - Heavy goods vehicle, &lt; 40t, Euro VI).</w:t>
      </w:r>
    </w:p>
    <w:p>
      <w:pPr>
        <w:numPr>
          <w:ilvl w:val="0"/>
          <w:numId w:val="1004"/>
        </w:numPr>
        <w:pStyle w:val="Compact"/>
      </w:pPr>
      <w:r>
        <w:rPr>
          <w:bCs/>
          <w:b/>
        </w:rPr>
        <w:t xml:space="preserve">Upstream Transport Distance:</w:t>
      </w:r>
      <w:r>
        <w:t xml:space="preserve"> </w:t>
      </w:r>
      <w:r>
        <w:t xml:space="preserve">dvuqiujgls (e.g., 1500 km, representing average distance from European suppliers to China).</w:t>
      </w:r>
    </w:p>
    <w:p>
      <w:pPr>
        <w:numPr>
          <w:ilvl w:val="0"/>
          <w:numId w:val="1004"/>
        </w:numPr>
        <w:pStyle w:val="Compact"/>
      </w:pPr>
      <w:r>
        <w:rPr>
          <w:bCs/>
          <w:b/>
        </w:rPr>
        <w:t xml:space="preserve">Downstream Last-Mile Delivery Channel:</w:t>
      </w:r>
      <w:r>
        <w:t xml:space="preserve"> </w:t>
      </w:r>
      <w:r>
        <w:t xml:space="preserve">Delivery Type (e.g., Courier van - Light commercial vehicle).</w:t>
      </w:r>
    </w:p>
    <w:p>
      <w:pPr>
        <w:numPr>
          <w:ilvl w:val="0"/>
          <w:numId w:val="1004"/>
        </w:numPr>
        <w:pStyle w:val="Compact"/>
      </w:pPr>
      <w:r>
        <w:rPr>
          <w:bCs/>
          <w:b/>
        </w:rPr>
        <w:t xml:space="preserve">Downstream Transport Distance (Average Last Mile):</w:t>
      </w:r>
      <w:r>
        <w:t xml:space="preserve"> </w:t>
      </w:r>
      <w:r>
        <w:t xml:space="preserve">Assuming an average of 50 km for last-mile delivery.</w:t>
      </w:r>
    </w:p>
    <w:p>
      <w:pPr>
        <w:numPr>
          <w:ilvl w:val="0"/>
          <w:numId w:val="1004"/>
        </w:numPr>
        <w:pStyle w:val="Compact"/>
      </w:pPr>
      <w:r>
        <w:rPr>
          <w:bCs/>
          <w:b/>
        </w:rPr>
        <w:t xml:space="preserve">Emission Factors:</w:t>
      </w:r>
      <w:r>
        <w:t xml:space="preserve"> </w:t>
      </w:r>
      <w:r>
        <w:t xml:space="preserve">Generic industry-standard emission factors for transport are applied.</w:t>
      </w:r>
    </w:p>
    <w:bookmarkEnd w:id="26"/>
    <w:bookmarkStart w:id="27" w:name="X687445901a9235e23446a36286990b6b14efa53"/>
    <w:p>
      <w:pPr>
        <w:pStyle w:val="Heading4"/>
      </w:pPr>
      <w:r>
        <w:t xml:space="preserve">2.2.4. Use Phase (Scope 3 - Category 11: Use of sold products)</w:t>
      </w:r>
    </w:p>
    <w:p>
      <w:pPr>
        <w:pStyle w:val="FirstParagraph"/>
      </w:pPr>
      <w:r>
        <w:t xml:space="preserve">This phase accounts for emissions generated during the product\'s operational lifetime.</w:t>
      </w:r>
    </w:p>
    <w:p>
      <w:pPr>
        <w:numPr>
          <w:ilvl w:val="0"/>
          <w:numId w:val="1005"/>
        </w:numPr>
        <w:pStyle w:val="Compact"/>
      </w:pPr>
      <w:r>
        <w:rPr>
          <w:bCs/>
          <w:b/>
        </w:rPr>
        <w:t xml:space="preserve">Product Lifespan:</w:t>
      </w:r>
      <w:r>
        <w:t xml:space="preserve"> </w:t>
      </w:r>
      <w:r>
        <w:t xml:space="preserve">jjoideenpl (e.g., 5 years).</w:t>
      </w:r>
    </w:p>
    <w:p>
      <w:pPr>
        <w:numPr>
          <w:ilvl w:val="0"/>
          <w:numId w:val="1005"/>
        </w:numPr>
        <w:pStyle w:val="Compact"/>
      </w:pPr>
      <w:r>
        <w:rPr>
          <w:bCs/>
          <w:b/>
        </w:rPr>
        <w:t xml:space="preserve">Energy Consumption in Use (kWh/year):</w:t>
      </w:r>
      <w:r>
        <w:t xml:space="preserve"> </w:t>
      </w:r>
      <w:r>
        <w:t xml:space="preserve">yidslgiwsp (e.g., 10 kWh/year).</w:t>
      </w:r>
    </w:p>
    <w:p>
      <w:pPr>
        <w:numPr>
          <w:ilvl w:val="0"/>
          <w:numId w:val="1005"/>
        </w:numPr>
        <w:pStyle w:val="Compact"/>
      </w:pPr>
      <w:r>
        <w:rPr>
          <w:bCs/>
          <w:b/>
        </w:rPr>
        <w:t xml:space="preserve">Electricity Grid Emission Factor (End-user location, assumed global average):</w:t>
      </w:r>
      <w:r>
        <w:t xml:space="preserve"> </w:t>
      </w:r>
      <w:r>
        <w:t xml:space="preserve">An average emission factor of 0.475 kgCO2e/kWh is used for the use phase, reflecting a typical global electricity mix.</w:t>
      </w:r>
    </w:p>
    <w:bookmarkEnd w:id="27"/>
    <w:bookmarkStart w:id="28" w:name="X771af2267ebd1370d4d978f60d6a0e9044c8834"/>
    <w:p>
      <w:pPr>
        <w:pStyle w:val="Heading4"/>
      </w:pPr>
      <w:r>
        <w:t xml:space="preserve">2.2.5. End-of-Life (EoL) (Scope 3 - Category 12: End-of-life treatment of sold products)</w:t>
      </w:r>
    </w:p>
    <w:p>
      <w:pPr>
        <w:pStyle w:val="FirstParagraph"/>
      </w:pPr>
      <w:r>
        <w:t xml:space="preserve">This stage assesses emissions and potential avoided emissions from disposal and recycling.</w:t>
      </w:r>
    </w:p>
    <w:p>
      <w:pPr>
        <w:numPr>
          <w:ilvl w:val="0"/>
          <w:numId w:val="1006"/>
        </w:numPr>
        <w:pStyle w:val="Compact"/>
      </w:pPr>
      <w:r>
        <w:rPr>
          <w:bCs/>
          <w:b/>
        </w:rPr>
        <w:t xml:space="preserve">Recyclability Percentage:</w:t>
      </w:r>
      <w:r>
        <w:t xml:space="preserve"> </w:t>
      </w:r>
      <w:r>
        <w:t xml:space="preserve">imlpjiuqpu (e.g., 80%).</w:t>
      </w:r>
    </w:p>
    <w:p>
      <w:pPr>
        <w:numPr>
          <w:ilvl w:val="0"/>
          <w:numId w:val="1006"/>
        </w:numPr>
        <w:pStyle w:val="Compact"/>
      </w:pPr>
      <w:r>
        <w:rPr>
          <w:bCs/>
          <w:b/>
        </w:rPr>
        <w:t xml:space="preserve">Circular/Take-back Programs:</w:t>
      </w:r>
      <w:r>
        <w:t xml:space="preserve"> </w:t>
      </w:r>
      <w:r>
        <w:t xml:space="preserve">mitvkwnlqt (e.g., Yes, regional take-back program).</w:t>
      </w:r>
    </w:p>
    <w:p>
      <w:pPr>
        <w:numPr>
          <w:ilvl w:val="0"/>
          <w:numId w:val="1006"/>
        </w:numPr>
        <w:pStyle w:val="Compact"/>
      </w:pPr>
      <w:r>
        <w:rPr>
          <w:bCs/>
          <w:b/>
        </w:rPr>
        <w:t xml:space="preserve">Disposal:</w:t>
      </w:r>
      <w:r>
        <w:t xml:space="preserve"> </w:t>
      </w:r>
      <w:r>
        <w:t xml:space="preserve">Remaining non-recycled materials are assumed to go to landfill, with associated emission factors.</w:t>
      </w:r>
    </w:p>
    <w:p>
      <w:pPr>
        <w:numPr>
          <w:ilvl w:val="0"/>
          <w:numId w:val="1006"/>
        </w:numPr>
        <w:pStyle w:val="Compact"/>
      </w:pPr>
      <w:r>
        <w:rPr>
          <w:bCs/>
          <w:b/>
        </w:rPr>
        <w:t xml:space="preserve">Recycling:</w:t>
      </w:r>
      <w:r>
        <w:t xml:space="preserve"> </w:t>
      </w:r>
      <w:r>
        <w:t xml:space="preserve">Avoided emissions from recycling are credited, assuming a substitution of virgin materials.</w:t>
      </w:r>
    </w:p>
    <w:p>
      <w:r>
        <w:pict>
          <v:rect style="width:0;height:1.5pt" o:hralign="center" o:hrstd="t" o:hr="t"/>
        </w:pict>
      </w:r>
    </w:p>
    <w:bookmarkEnd w:id="28"/>
    <w:bookmarkEnd w:id="29"/>
    <w:bookmarkEnd w:id="30"/>
    <w:bookmarkStart w:id="42" w:name="emission-calculation-step-4"/>
    <w:p>
      <w:pPr>
        <w:pStyle w:val="Heading2"/>
      </w:pPr>
      <w:r>
        <w:t xml:space="preserve">3. Emission Calculation (Step 4)</w:t>
      </w:r>
    </w:p>
    <w:p>
      <w:pPr>
        <w:pStyle w:val="FirstParagraph"/>
      </w:pPr>
      <w:r>
        <w:t xml:space="preserve">Emissions are calculated for each lifecycle stage and categorized according to the GHG Protocol Scopes. Industry-standard emission factors from databases like Ecoinvent and DEFRA are used for parameters where primary data or explicit BOM emission factors are not directly available. The 2026 LSR Standard is applied where applicable for land-related impacts and removals, though for a typical manufactured product PCF, these are often minor unless specific bio-based materials or direct land-use changes are involved. For this product, LSR impacts are assumed to be negligible without specific land-use data.</w:t>
      </w:r>
    </w:p>
    <w:bookmarkStart w:id="31" w:name="assumptions-for-calculations"/>
    <w:p>
      <w:pPr>
        <w:pStyle w:val="Heading3"/>
      </w:pPr>
      <w:r>
        <w:t xml:space="preserve">3.1. Assumptions for Calculations:</w:t>
      </w:r>
    </w:p>
    <w:p>
      <w:pPr>
        <w:numPr>
          <w:ilvl w:val="0"/>
          <w:numId w:val="1007"/>
        </w:numPr>
        <w:pStyle w:val="Compact"/>
      </w:pPr>
      <w:r>
        <w:rPr>
          <w:bCs/>
          <w:b/>
        </w:rPr>
        <w:t xml:space="preserve">BOM Data:</w:t>
      </w:r>
      <w:r>
        <w:t xml:space="preserve"> </w:t>
      </w:r>
      <w:r>
        <w:t xml:space="preserve">Used directly from the illustrative table above.</w:t>
      </w:r>
    </w:p>
    <w:p>
      <w:pPr>
        <w:numPr>
          <w:ilvl w:val="0"/>
          <w:numId w:val="1007"/>
        </w:numPr>
        <w:pStyle w:val="Compact"/>
      </w:pPr>
      <w:r>
        <w:rPr>
          <w:bCs/>
          <w:b/>
        </w:rPr>
        <w:t xml:space="preserve">Transport Mode Emission Factors:</w:t>
      </w:r>
    </w:p>
    <w:p>
      <w:pPr>
        <w:numPr>
          <w:ilvl w:val="1"/>
          <w:numId w:val="1008"/>
        </w:numPr>
        <w:pStyle w:val="Compact"/>
      </w:pPr>
      <w:r>
        <w:t xml:space="preserve">Road freight (Heavy goods vehicle, &lt; 40t, Euro VI): 0.1 kgCO2e/tkm</w:t>
      </w:r>
    </w:p>
    <w:p>
      <w:pPr>
        <w:numPr>
          <w:ilvl w:val="1"/>
          <w:numId w:val="1008"/>
        </w:numPr>
        <w:pStyle w:val="Compact"/>
      </w:pPr>
      <w:r>
        <w:t xml:space="preserve">Courier van (Light commercial vehicle): 0.15 kgCO2e/tkm (estimated for last-mile efficiency)</w:t>
      </w:r>
    </w:p>
    <w:p>
      <w:pPr>
        <w:numPr>
          <w:ilvl w:val="0"/>
          <w:numId w:val="1007"/>
        </w:numPr>
        <w:pStyle w:val="Compact"/>
      </w:pPr>
      <w:r>
        <w:rPr>
          <w:bCs/>
          <w:b/>
        </w:rPr>
        <w:t xml:space="preserve">Electricity Grid Emission Factors:</w:t>
      </w:r>
    </w:p>
    <w:p>
      <w:pPr>
        <w:numPr>
          <w:ilvl w:val="1"/>
          <w:numId w:val="1009"/>
        </w:numPr>
        <w:pStyle w:val="Compact"/>
      </w:pPr>
      <w:r>
        <w:t xml:space="preserve">China Grid: 0.60 kgCO2e/kWh</w:t>
      </w:r>
    </w:p>
    <w:p>
      <w:pPr>
        <w:numPr>
          <w:ilvl w:val="1"/>
          <w:numId w:val="1009"/>
        </w:numPr>
        <w:pStyle w:val="Compact"/>
      </w:pPr>
      <w:r>
        <w:t xml:space="preserve">Global Average Grid (for Use Phase): 0.475 kgCO2e/kWh</w:t>
      </w:r>
    </w:p>
    <w:p>
      <w:pPr>
        <w:numPr>
          <w:ilvl w:val="0"/>
          <w:numId w:val="1007"/>
        </w:numPr>
        <w:pStyle w:val="Compact"/>
      </w:pPr>
      <w:r>
        <w:rPr>
          <w:bCs/>
          <w:b/>
        </w:rPr>
        <w:t xml:space="preserve">End-of-Life Emission Factors:</w:t>
      </w:r>
    </w:p>
    <w:p>
      <w:pPr>
        <w:numPr>
          <w:ilvl w:val="1"/>
          <w:numId w:val="1010"/>
        </w:numPr>
        <w:pStyle w:val="Compact"/>
      </w:pPr>
      <w:r>
        <w:t xml:space="preserve">Landfill (mixed waste): 0.5 kgCO2e/kg</w:t>
      </w:r>
    </w:p>
    <w:p>
      <w:pPr>
        <w:numPr>
          <w:ilvl w:val="1"/>
          <w:numId w:val="1010"/>
        </w:numPr>
        <w:pStyle w:val="Compact"/>
      </w:pPr>
      <w:r>
        <w:t xml:space="preserve">Recycling Credit (average across materials): -1.5 kgCO2e/kg (avoided emissions)</w:t>
      </w:r>
    </w:p>
    <w:bookmarkEnd w:id="31"/>
    <w:bookmarkStart w:id="40" w:name="lifecycle-emission-breakdown-by-scope"/>
    <w:p>
      <w:pPr>
        <w:pStyle w:val="Heading3"/>
      </w:pPr>
      <w:r>
        <w:t xml:space="preserve">3.2. Lifecycle Emission Breakdown by Scope</w:t>
      </w:r>
    </w:p>
    <w:bookmarkStart w:id="32" w:name="X08ddd3e90bfafe0d56596049460cb6b13f6237f"/>
    <w:p>
      <w:pPr>
        <w:pStyle w:val="Heading4"/>
      </w:pPr>
      <w:r>
        <w:t xml:space="preserve">3.2.1. Scope 1 Emissions (Direct Emissions from ivlftjizfp Operations)</w:t>
      </w:r>
    </w:p>
    <w:p>
      <w:pPr>
        <w:pStyle w:val="FirstParagraph"/>
      </w:pPr>
      <w:r>
        <w:t xml:space="preserve">As per the system boundary, Scope 1 covers direct emissions from owned or controlled sources. Given a product-level PCF with a \'factory_gate\' boundary and no specific direct fuel consumption data provided for fuindhqxey\'s manufacturing, these emissions are assumed to be minor or allocated at a facility level rather than directly to the product unit. For simplicity in this product PCF, direct manufacturing emissions (e.g., small-scale on-site fuel use) are deemed negligible or embedded within the energy intensity if not separately reported. If company vehicles are used on-site for internal logistics, these would be captured here. Therefore, for this report, Scope 1 direct process emissions for fuindhqxey are estimated at</w:t>
      </w:r>
      <w:r>
        <w:t xml:space="preserve"> </w:t>
      </w:r>
      <w:r>
        <w:rPr>
          <w:bCs/>
          <w:b/>
        </w:rPr>
        <w:t xml:space="preserve">0.05 kgCO2e/unit</w:t>
      </w:r>
      <w:r>
        <w:t xml:space="preserve"> </w:t>
      </w:r>
      <w:r>
        <w:t xml:space="preserve">(a placeholder for minor, unallocated direct process emissions).</w:t>
      </w:r>
    </w:p>
    <w:p>
      <w:pPr>
        <w:pStyle w:val="BodyText"/>
      </w:pPr>
      <w:r>
        <w:rPr>
          <w:bCs/>
          <w:b/>
        </w:rPr>
        <w:t xml:space="preserve">Total Scope 1 Emissions: 0.05 kgCO2e/unit</w:t>
      </w:r>
    </w:p>
    <w:bookmarkEnd w:id="32"/>
    <w:bookmarkStart w:id="33" w:name="X560ef54a7758ffa047c810eb279b5933de225f5"/>
    <w:p>
      <w:pPr>
        <w:pStyle w:val="Heading4"/>
      </w:pPr>
      <w:r>
        <w:t xml:space="preserve">3.2.2. Scope 2 Emissions (Indirect Emissions from Purchased Energy for Production)</w:t>
      </w:r>
    </w:p>
    <w:p>
      <w:pPr>
        <w:numPr>
          <w:ilvl w:val="0"/>
          <w:numId w:val="1011"/>
        </w:numPr>
        <w:pStyle w:val="Compact"/>
      </w:pPr>
      <w:r>
        <w:t xml:space="preserve">Energy Intensity: 2.5 kWh/unit</w:t>
      </w:r>
    </w:p>
    <w:p>
      <w:pPr>
        <w:numPr>
          <w:ilvl w:val="0"/>
          <w:numId w:val="1011"/>
        </w:numPr>
        <w:pStyle w:val="Compact"/>
      </w:pPr>
      <w:r>
        <w:t xml:space="preserve">Renewable Energy Usage: 60%</w:t>
      </w:r>
    </w:p>
    <w:p>
      <w:pPr>
        <w:numPr>
          <w:ilvl w:val="0"/>
          <w:numId w:val="1011"/>
        </w:numPr>
        <w:pStyle w:val="Compact"/>
      </w:pPr>
      <w:r>
        <w:t xml:space="preserve">Non-renewable energy: 2.5 kWh/unit * (1 - 0.60) = 1.0 kWh/unit</w:t>
      </w:r>
    </w:p>
    <w:p>
      <w:pPr>
        <w:numPr>
          <w:ilvl w:val="0"/>
          <w:numId w:val="1011"/>
        </w:numPr>
        <w:pStyle w:val="Compact"/>
      </w:pPr>
      <w:r>
        <w:t xml:space="preserve">Scope 2 Emissions = 1.0 kWh/unit * 0.60 kgCO2e/kWh (China Grid EF) = 0.60 kgCO2e/unit</w:t>
      </w:r>
    </w:p>
    <w:p>
      <w:pPr>
        <w:pStyle w:val="FirstParagraph"/>
      </w:pPr>
      <w:r>
        <w:rPr>
          <w:bCs/>
          <w:b/>
        </w:rPr>
        <w:t xml:space="preserve">Total Scope 2 Emissions: 0.60 kgCO2e/unit</w:t>
      </w:r>
    </w:p>
    <w:bookmarkEnd w:id="33"/>
    <w:bookmarkStart w:id="39" w:name="scope-3-emissions-value-chain-emissions"/>
    <w:p>
      <w:pPr>
        <w:pStyle w:val="Heading4"/>
      </w:pPr>
      <w:r>
        <w:t xml:space="preserve">3.2.3. Scope 3 Emissions (Value Chain Emissions)</w:t>
      </w:r>
    </w:p>
    <w:bookmarkStart w:id="34" w:name="X5bbca9c69eedd33e6ca716e88657db31ef3f491"/>
    <w:p>
      <w:pPr>
        <w:pStyle w:val="Heading5"/>
      </w:pPr>
      <w:r>
        <w:t xml:space="preserve">3.2.3.1. Category 1: Purchased Goods and Services (Materials &amp; Components)</w:t>
      </w:r>
    </w:p>
    <w:p>
      <w:pPr>
        <w:numPr>
          <w:ilvl w:val="0"/>
          <w:numId w:val="1012"/>
        </w:numPr>
        <w:pStyle w:val="Compact"/>
      </w:pPr>
      <w:r>
        <w:t xml:space="preserve">Total Carbon from BOM (illustrative): 9.13 kgCO2e/unit</w:t>
      </w:r>
    </w:p>
    <w:p>
      <w:pPr>
        <w:pStyle w:val="FirstParagraph"/>
      </w:pPr>
      <w:r>
        <w:rPr>
          <w:bCs/>
          <w:b/>
        </w:rPr>
        <w:t xml:space="preserve">Total Scope 3 - Category 1 Emissions: 9.13 kgCO2e/unit</w:t>
      </w:r>
    </w:p>
    <w:bookmarkEnd w:id="34"/>
    <w:bookmarkStart w:id="35" w:name="X6669a43143349c25ec93e775eebde43de53a73c"/>
    <w:p>
      <w:pPr>
        <w:pStyle w:val="Heading5"/>
      </w:pPr>
      <w:r>
        <w:t xml:space="preserve">3.2.3.2. Category 4: Upstream Transportation and Distribution</w:t>
      </w:r>
    </w:p>
    <w:p>
      <w:pPr>
        <w:numPr>
          <w:ilvl w:val="0"/>
          <w:numId w:val="1013"/>
        </w:numPr>
        <w:pStyle w:val="Compact"/>
      </w:pPr>
      <w:r>
        <w:t xml:space="preserve">Product Weight (estimated from BOM): Sum of Qty in BOM (0.86 kg/unit). Rounded to 1 kg for transport calculations for simplicity.</w:t>
      </w:r>
    </w:p>
    <w:p>
      <w:pPr>
        <w:numPr>
          <w:ilvl w:val="0"/>
          <w:numId w:val="1013"/>
        </w:numPr>
        <w:pStyle w:val="Compact"/>
      </w:pPr>
      <w:r>
        <w:t xml:space="preserve">Transport Mode: Road freight (Heavy goods vehicle)</w:t>
      </w:r>
    </w:p>
    <w:p>
      <w:pPr>
        <w:numPr>
          <w:ilvl w:val="0"/>
          <w:numId w:val="1013"/>
        </w:numPr>
        <w:pStyle w:val="Compact"/>
      </w:pPr>
      <w:r>
        <w:t xml:space="preserve">Transport Distance: 1500 km</w:t>
      </w:r>
    </w:p>
    <w:p>
      <w:pPr>
        <w:numPr>
          <w:ilvl w:val="0"/>
          <w:numId w:val="1013"/>
        </w:numPr>
        <w:pStyle w:val="Compact"/>
      </w:pPr>
      <w:r>
        <w:t xml:space="preserve">Emissions = 0.001 tonne * 1500 km * 0.1 kgCO2e/tkm = 0.15 kgCO2e/unit</w:t>
      </w:r>
    </w:p>
    <w:p>
      <w:pPr>
        <w:pStyle w:val="FirstParagraph"/>
      </w:pPr>
      <w:r>
        <w:rPr>
          <w:bCs/>
          <w:b/>
        </w:rPr>
        <w:t xml:space="preserve">Total Scope 3 - Category 4 Emissions: 0.15 kgCO2e/unit</w:t>
      </w:r>
    </w:p>
    <w:bookmarkEnd w:id="35"/>
    <w:bookmarkStart w:id="36" w:name="Xe6a609cc71639c4bb5b5bcd247c776c9d89fa33"/>
    <w:p>
      <w:pPr>
        <w:pStyle w:val="Heading5"/>
      </w:pPr>
      <w:r>
        <w:t xml:space="preserve">3.2.3.3. Category 9: Downstream Transportation and Distribution (Last-Mile Delivery)</w:t>
      </w:r>
    </w:p>
    <w:p>
      <w:pPr>
        <w:numPr>
          <w:ilvl w:val="0"/>
          <w:numId w:val="1014"/>
        </w:numPr>
        <w:pStyle w:val="Compact"/>
      </w:pPr>
      <w:r>
        <w:t xml:space="preserve">Product Weight: 1 kg (estimated)</w:t>
      </w:r>
    </w:p>
    <w:p>
      <w:pPr>
        <w:numPr>
          <w:ilvl w:val="0"/>
          <w:numId w:val="1014"/>
        </w:numPr>
        <w:pStyle w:val="Compact"/>
      </w:pPr>
      <w:r>
        <w:t xml:space="preserve">Delivery Channel: Courier van</w:t>
      </w:r>
    </w:p>
    <w:p>
      <w:pPr>
        <w:numPr>
          <w:ilvl w:val="0"/>
          <w:numId w:val="1014"/>
        </w:numPr>
        <w:pStyle w:val="Compact"/>
      </w:pPr>
      <w:r>
        <w:t xml:space="preserve">Distance: 50 km (assumed average last mile)</w:t>
      </w:r>
    </w:p>
    <w:p>
      <w:pPr>
        <w:numPr>
          <w:ilvl w:val="0"/>
          <w:numId w:val="1014"/>
        </w:numPr>
        <w:pStyle w:val="Compact"/>
      </w:pPr>
      <w:r>
        <w:t xml:space="preserve">Emissions = 0.001 tonne * 50 km * 0.15 kgCO2e/tkm (Courier van EF) = 0.0075 kgCO2e/unit</w:t>
      </w:r>
    </w:p>
    <w:p>
      <w:pPr>
        <w:pStyle w:val="FirstParagraph"/>
      </w:pPr>
      <w:r>
        <w:rPr>
          <w:bCs/>
          <w:b/>
        </w:rPr>
        <w:t xml:space="preserve">Total Scope 3 - Category 9 Emissions: 0.0075 kgCO2e/unit</w:t>
      </w:r>
    </w:p>
    <w:bookmarkEnd w:id="36"/>
    <w:bookmarkStart w:id="37" w:name="category-11-use-of-sold-products"/>
    <w:p>
      <w:pPr>
        <w:pStyle w:val="Heading5"/>
      </w:pPr>
      <w:r>
        <w:t xml:space="preserve">3.2.3.4. 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Use Phase Emissions = 50 kWh * 0.475 kgCO2e/kWh (Global Average Grid EF) = 23.75 kgCO2e/unit</w:t>
      </w:r>
    </w:p>
    <w:p>
      <w:pPr>
        <w:pStyle w:val="FirstParagraph"/>
      </w:pPr>
      <w:r>
        <w:rPr>
          <w:bCs/>
          <w:b/>
        </w:rPr>
        <w:t xml:space="preserve">Total Scope 3 - Category 11 Emissions: 23.75 kgCO2e/unit</w:t>
      </w:r>
    </w:p>
    <w:bookmarkEnd w:id="37"/>
    <w:bookmarkStart w:id="38" w:name="X9f66eef2700632e081dfe139021cb724ffcd2c5"/>
    <w:p>
      <w:pPr>
        <w:pStyle w:val="Heading5"/>
      </w:pPr>
      <w:r>
        <w:t xml:space="preserve">3.2.3.5. Category 12: End-of-Life Treatment of Sold Products</w:t>
      </w:r>
    </w:p>
    <w:p>
      <w:pPr>
        <w:numPr>
          <w:ilvl w:val="0"/>
          <w:numId w:val="1016"/>
        </w:numPr>
        <w:pStyle w:val="Compact"/>
      </w:pPr>
      <w:r>
        <w:t xml:space="preserve">Recyclability Percentage: 80%</w:t>
      </w:r>
    </w:p>
    <w:p>
      <w:pPr>
        <w:numPr>
          <w:ilvl w:val="0"/>
          <w:numId w:val="1016"/>
        </w:numPr>
        <w:pStyle w:val="Compact"/>
      </w:pPr>
      <w:r>
        <w:t xml:space="preserve">Product Weight: 1 kg</w:t>
      </w:r>
    </w:p>
    <w:p>
      <w:pPr>
        <w:numPr>
          <w:ilvl w:val="0"/>
          <w:numId w:val="1016"/>
        </w:numPr>
        <w:pStyle w:val="Compact"/>
      </w:pPr>
      <w:r>
        <w:t xml:space="preserve">Recycled Portion: 1 kg * 0.80 = 0.8 kg</w:t>
      </w:r>
    </w:p>
    <w:p>
      <w:pPr>
        <w:numPr>
          <w:ilvl w:val="0"/>
          <w:numId w:val="1016"/>
        </w:numPr>
        <w:pStyle w:val="Compact"/>
      </w:pPr>
      <w:r>
        <w:t xml:space="preserve">Disposed Portion (Landfill): 1 kg * (1 - 0.80) = 0.2 kg</w:t>
      </w:r>
    </w:p>
    <w:p>
      <w:pPr>
        <w:numPr>
          <w:ilvl w:val="0"/>
          <w:numId w:val="1016"/>
        </w:numPr>
        <w:pStyle w:val="Compact"/>
      </w:pPr>
      <w:r>
        <w:t xml:space="preserve">Emissions from Landfill = 0.2 kg * 0.5 kgCO2e/kg = 0.1 kgCO2e/unit</w:t>
      </w:r>
    </w:p>
    <w:p>
      <w:pPr>
        <w:numPr>
          <w:ilvl w:val="0"/>
          <w:numId w:val="1016"/>
        </w:numPr>
        <w:pStyle w:val="Compact"/>
      </w:pPr>
      <w:r>
        <w:t xml:space="preserve">Avoided Emissions from Recycling = 0.8 kg * (-1.5 kgCO2e/kg) = -1.2 kgCO2e/unit</w:t>
      </w:r>
    </w:p>
    <w:p>
      <w:pPr>
        <w:numPr>
          <w:ilvl w:val="0"/>
          <w:numId w:val="1016"/>
        </w:numPr>
        <w:pStyle w:val="Compact"/>
      </w:pPr>
      <w:r>
        <w:t xml:space="preserve">Net EoL Emissions = 0.1 kgCO2e + (-1.2 kgCO2e) = -1.1 kgCO2e/unit</w:t>
      </w:r>
    </w:p>
    <w:p>
      <w:pPr>
        <w:numPr>
          <w:ilvl w:val="0"/>
          <w:numId w:val="1016"/>
        </w:numPr>
        <w:pStyle w:val="Compact"/>
      </w:pPr>
      <w:r>
        <w:t xml:space="preserve">Circular/Take-back Programs: "Yes, regional take-back program" reinforces the recycling scenario.</w:t>
      </w:r>
    </w:p>
    <w:p>
      <w:pPr>
        <w:pStyle w:val="FirstParagraph"/>
      </w:pPr>
      <w:r>
        <w:rPr>
          <w:bCs/>
          <w:b/>
        </w:rPr>
        <w:t xml:space="preserve">Total Scope 3 - Category 12 Emissions: -1.10 kgCO2e/unit (Net Carbon Sink)</w:t>
      </w:r>
    </w:p>
    <w:bookmarkEnd w:id="38"/>
    <w:bookmarkEnd w:id="39"/>
    <w:bookmarkEnd w:id="40"/>
    <w:bookmarkStart w:id="41" w:name="X5bfff41097940a31961c4db4494804084aae818"/>
    <w:p>
      <w:pPr>
        <w:pStyle w:val="Heading3"/>
      </w:pPr>
      <w:r>
        <w:t xml:space="preserve">3.2.4. Summary of Product Carbon Footprint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w:t>
            </w:r>
          </w:p>
        </w:tc>
        <w:tc>
          <w:tcPr/>
          <w:p>
            <w:pPr>
              <w:pStyle w:val="Compact"/>
              <w:jc w:val="left"/>
            </w:pPr>
            <w:r>
              <w:t xml:space="preserve">Emissions (kgCO2e/unit)</w:t>
            </w:r>
          </w:p>
        </w:tc>
        <w:tc>
          <w:tcPr/>
          <w:p>
            <w:pPr>
              <w:pStyle w:val="Compact"/>
              <w:jc w:val="left"/>
            </w:pPr>
            <w:r>
              <w:t xml:space="preserve">Contribution to Total (approx.)</w:t>
            </w:r>
          </w:p>
        </w:tc>
      </w:tr>
      <w:tr>
        <w:tc>
          <w:tcPr/>
          <w:p>
            <w:pPr>
              <w:pStyle w:val="Compact"/>
              <w:jc w:val="left"/>
            </w:pPr>
            <w:r>
              <w:t xml:space="preserve">Scope 1</w:t>
            </w:r>
          </w:p>
        </w:tc>
        <w:tc>
          <w:tcPr/>
          <w:p>
            <w:pPr>
              <w:pStyle w:val="Compact"/>
              <w:jc w:val="left"/>
            </w:pPr>
            <w:r>
              <w:t xml:space="preserve">Direct Operations (Production)</w:t>
            </w:r>
          </w:p>
        </w:tc>
        <w:tc>
          <w:tcPr/>
          <w:p>
            <w:pPr>
              <w:pStyle w:val="Compact"/>
              <w:jc w:val="left"/>
            </w:pPr>
            <w:r>
              <w:t xml:space="preserve">0.05</w:t>
            </w:r>
          </w:p>
        </w:tc>
        <w:tc>
          <w:tcPr/>
          <w:p>
            <w:pPr>
              <w:pStyle w:val="Compact"/>
              <w:jc w:val="left"/>
            </w:pPr>
            <w:r>
              <w:t xml:space="preserve">&lt;1%</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0.60</w:t>
            </w:r>
          </w:p>
        </w:tc>
        <w:tc>
          <w:tcPr/>
          <w:p>
            <w:pPr>
              <w:pStyle w:val="Compact"/>
              <w:jc w:val="left"/>
            </w:pPr>
            <w:r>
              <w:t xml:space="preserve">~2%</w:t>
            </w:r>
          </w:p>
        </w:tc>
      </w:tr>
      <w:tr>
        <w:tc>
          <w:tcPr/>
          <w:p>
            <w:pPr>
              <w:pStyle w:val="Compact"/>
              <w:jc w:val="left"/>
            </w:pPr>
            <w:r>
              <w:t xml:space="preserve">Scope 3 - Category 1</w:t>
            </w:r>
          </w:p>
        </w:tc>
        <w:tc>
          <w:tcPr/>
          <w:p>
            <w:pPr>
              <w:pStyle w:val="Compact"/>
              <w:jc w:val="left"/>
            </w:pPr>
            <w:r>
              <w:t xml:space="preserve">Purchased Goods &amp; Services (Materials)</w:t>
            </w:r>
          </w:p>
        </w:tc>
        <w:tc>
          <w:tcPr/>
          <w:p>
            <w:pPr>
              <w:pStyle w:val="Compact"/>
              <w:jc w:val="left"/>
            </w:pPr>
            <w:r>
              <w:t xml:space="preserve">9.13</w:t>
            </w:r>
          </w:p>
        </w:tc>
        <w:tc>
          <w:tcPr/>
          <w:p>
            <w:pPr>
              <w:pStyle w:val="Compact"/>
              <w:jc w:val="left"/>
            </w:pPr>
            <w:r>
              <w:t xml:space="preserve">~28%</w:t>
            </w:r>
          </w:p>
        </w:tc>
      </w:tr>
      <w:tr>
        <w:tc>
          <w:tcPr/>
          <w:p>
            <w:pPr>
              <w:pStyle w:val="Compact"/>
              <w:jc w:val="left"/>
            </w:pPr>
            <w:r>
              <w:t xml:space="preserve">Scope 3 - Category 4</w:t>
            </w:r>
          </w:p>
        </w:tc>
        <w:tc>
          <w:tcPr/>
          <w:p>
            <w:pPr>
              <w:pStyle w:val="Compact"/>
              <w:jc w:val="left"/>
            </w:pPr>
            <w:r>
              <w:t xml:space="preserve">Upstream Transport</w:t>
            </w:r>
          </w:p>
        </w:tc>
        <w:tc>
          <w:tcPr/>
          <w:p>
            <w:pPr>
              <w:pStyle w:val="Compact"/>
              <w:jc w:val="left"/>
            </w:pPr>
            <w:r>
              <w:t xml:space="preserve">0.15</w:t>
            </w:r>
          </w:p>
        </w:tc>
        <w:tc>
          <w:tcPr/>
          <w:p>
            <w:pPr>
              <w:pStyle w:val="Compact"/>
              <w:jc w:val="left"/>
            </w:pPr>
            <w:r>
              <w:t xml:space="preserve">&lt;1%</w:t>
            </w:r>
          </w:p>
        </w:tc>
      </w:tr>
      <w:tr>
        <w:tc>
          <w:tcPr/>
          <w:p>
            <w:pPr>
              <w:pStyle w:val="Compact"/>
              <w:jc w:val="left"/>
            </w:pPr>
            <w:r>
              <w:t xml:space="preserve">Scope 3 - Category 9</w:t>
            </w:r>
          </w:p>
        </w:tc>
        <w:tc>
          <w:tcPr/>
          <w:p>
            <w:pPr>
              <w:pStyle w:val="Compact"/>
              <w:jc w:val="left"/>
            </w:pPr>
            <w:r>
              <w:t xml:space="preserve">Downstream Transport (Last Mile)</w:t>
            </w:r>
          </w:p>
        </w:tc>
        <w:tc>
          <w:tcPr/>
          <w:p>
            <w:pPr>
              <w:pStyle w:val="Compact"/>
              <w:jc w:val="left"/>
            </w:pPr>
            <w:r>
              <w:t xml:space="preserve">0.0075</w:t>
            </w:r>
          </w:p>
        </w:tc>
        <w:tc>
          <w:tcPr/>
          <w:p>
            <w:pPr>
              <w:pStyle w:val="Compact"/>
              <w:jc w:val="left"/>
            </w:pPr>
            <w:r>
              <w:t xml:space="preserve">&lt;1%</w:t>
            </w:r>
          </w:p>
        </w:tc>
      </w:tr>
      <w:tr>
        <w:tc>
          <w:tcPr/>
          <w:p>
            <w:pPr>
              <w:pStyle w:val="Compact"/>
              <w:jc w:val="left"/>
            </w:pPr>
            <w:r>
              <w:t xml:space="preserve">Scope 3 - Category 11</w:t>
            </w:r>
          </w:p>
        </w:tc>
        <w:tc>
          <w:tcPr/>
          <w:p>
            <w:pPr>
              <w:pStyle w:val="Compact"/>
              <w:jc w:val="left"/>
            </w:pPr>
            <w:r>
              <w:t xml:space="preserve">Use of Sold Products</w:t>
            </w:r>
          </w:p>
        </w:tc>
        <w:tc>
          <w:tcPr/>
          <w:p>
            <w:pPr>
              <w:pStyle w:val="Compact"/>
              <w:jc w:val="left"/>
            </w:pPr>
            <w:r>
              <w:t xml:space="preserve">23.75</w:t>
            </w:r>
          </w:p>
        </w:tc>
        <w:tc>
          <w:tcPr/>
          <w:p>
            <w:pPr>
              <w:pStyle w:val="Compact"/>
              <w:jc w:val="left"/>
            </w:pPr>
            <w:r>
              <w:t xml:space="preserve">~73%</w:t>
            </w:r>
          </w:p>
        </w:tc>
      </w:tr>
      <w:tr>
        <w:tc>
          <w:tcPr/>
          <w:p>
            <w:pPr>
              <w:pStyle w:val="Compact"/>
              <w:jc w:val="left"/>
            </w:pPr>
            <w:r>
              <w:t xml:space="preserve">Scope 3 - Category 12</w:t>
            </w:r>
          </w:p>
        </w:tc>
        <w:tc>
          <w:tcPr/>
          <w:p>
            <w:pPr>
              <w:pStyle w:val="Compact"/>
              <w:jc w:val="left"/>
            </w:pPr>
            <w:r>
              <w:t xml:space="preserve">End-of-Life Treatment</w:t>
            </w:r>
          </w:p>
        </w:tc>
        <w:tc>
          <w:tcPr/>
          <w:p>
            <w:pPr>
              <w:pStyle w:val="Compact"/>
              <w:jc w:val="left"/>
            </w:pPr>
            <w:r>
              <w:t xml:space="preserve">-1.10</w:t>
            </w:r>
          </w:p>
        </w:tc>
        <w:tc>
          <w:tcPr/>
          <w:p>
            <w:pPr>
              <w:pStyle w:val="Compact"/>
              <w:jc w:val="left"/>
            </w:pPr>
            <w:r>
              <w:t xml:space="preserve">- (Carbon Sink)</w:t>
            </w:r>
          </w:p>
        </w:tc>
      </w:tr>
      <w:tr>
        <w:tc>
          <w:tcPr>
            <w:gridSpan w:val="2"/>
          </w:tcPr>
          <w:p>
            <w:pPr>
              <w:pStyle w:val="Compact"/>
              <w:jc w:val="left"/>
            </w:pPr>
            <w:r>
              <w:rPr>
                <w:bCs/>
                <w:b/>
              </w:rPr>
              <w:t xml:space="preserve">Total Product Carbon Footprint</w:t>
            </w:r>
          </w:p>
        </w:tc>
        <w:tc>
          <w:tcPr/>
          <w:p>
            <w:pPr>
              <w:pStyle w:val="Compact"/>
              <w:jc w:val="left"/>
            </w:pPr>
            <w:r>
              <w:rPr>
                <w:bCs/>
                <w:b/>
              </w:rPr>
              <w:t xml:space="preserve">32.5875</w:t>
            </w:r>
          </w:p>
        </w:tc>
        <w:tc>
          <w:tcPr/>
          <w:p>
            <w:pPr>
              <w:pStyle w:val="Compact"/>
              <w:jc w:val="left"/>
            </w:pPr>
            <w:r>
              <w:rPr>
                <w:bCs/>
                <w:b/>
              </w:rPr>
              <w:t xml:space="preserve">100%</w:t>
            </w:r>
          </w:p>
        </w:tc>
      </w:tr>
    </w:tbl>
    <w:p>
      <w:pPr>
        <w:pStyle w:val="BodyText"/>
      </w:pPr>
      <w:r>
        <w:rPr>
          <w:bCs/>
          <w:b/>
        </w:rPr>
        <w:t xml:space="preserve">Total Scope 3 Coverage:</w:t>
      </w:r>
      <w:r>
        <w:t xml:space="preserve"> </w:t>
      </w:r>
      <w:r>
        <w:t xml:space="preserve">The sum of Scope 3 emissions (9.13 + 0.15 + 0.0075 + 23.75 + (-1.10)) is 31.9375 kgCO2e. The total footprint is 32.5875 kgCO2e. The portion of Scope 3 in the positive emissions is (9.13 + 0.15 + 0.0075 + 23.75) = 33.0375 kgCO2e. Relative to the total positive emissions (0.05 + 0.60 + 33.0375) = 33.6875 kgCO2e. Therefore, 33.0375 / 33.6875 * 100% = 98.07%. This meets the 95% coverage requirement for Scope 3 reporting.</w:t>
      </w:r>
    </w:p>
    <w:p>
      <w:pPr>
        <w:pStyle w:val="BodyText"/>
      </w:pPr>
      <w:r>
        <w:rPr>
          <w:bCs/>
          <w:b/>
        </w:rPr>
        <w:t xml:space="preserve">LSR Update:</w:t>
      </w:r>
      <w:r>
        <w:t xml:space="preserve"> </w:t>
      </w:r>
      <w:r>
        <w:t xml:space="preserve">The Land Sector and Removals (LSR) Standard is acknowledged. For fuindhqxey, based on current data, there are no significant direct land-use change impacts or substantial bio-based material removals to report specifically under LSR, beyond the general crediting for recycling in EoL. If the BOM included specific bio-based materials with certified carbon sequestration, those removals would be calculated and reported here.</w:t>
      </w:r>
    </w:p>
    <w:p>
      <w:r>
        <w:pict>
          <v:rect style="width:0;height:1.5pt" o:hralign="center" o:hrstd="t" o:hr="t"/>
        </w:pict>
      </w:r>
    </w:p>
    <w:bookmarkEnd w:id="41"/>
    <w:bookmarkEnd w:id="42"/>
    <w:bookmarkStart w:id="46" w:name="review-report-step-5"/>
    <w:p>
      <w:pPr>
        <w:pStyle w:val="Heading2"/>
      </w:pPr>
      <w:r>
        <w:t xml:space="preserve">4. Review &amp; Report (Step 5)</w:t>
      </w:r>
    </w:p>
    <w:bookmarkStart w:id="43" w:name="key-findings-and-hotspots"/>
    <w:p>
      <w:pPr>
        <w:pStyle w:val="Heading3"/>
      </w:pPr>
      <w:r>
        <w:t xml:space="preserve">4.1. Key Findings and Hotspots</w:t>
      </w:r>
    </w:p>
    <w:p>
      <w:pPr>
        <w:pStyle w:val="FirstParagraph"/>
      </w:pPr>
      <w:r>
        <w:t xml:space="preserve">The total Product Carbon Footprint for fuindhqxey is approximately</w:t>
      </w:r>
      <w:r>
        <w:t xml:space="preserve"> </w:t>
      </w:r>
      <w:r>
        <w:rPr>
          <w:bCs/>
          <w:b/>
        </w:rPr>
        <w:t xml:space="preserve">32.59 kgCO2e per unit</w:t>
      </w:r>
      <w:r>
        <w:t xml:space="preserve">.</w:t>
      </w:r>
    </w:p>
    <w:p>
      <w:pPr>
        <w:numPr>
          <w:ilvl w:val="0"/>
          <w:numId w:val="1017"/>
        </w:numPr>
        <w:pStyle w:val="Compact"/>
      </w:pPr>
      <w:r>
        <w:rPr>
          <w:bCs/>
          <w:b/>
        </w:rPr>
        <w:t xml:space="preserve">Use Phase Dominance:</w:t>
      </w:r>
      <w:r>
        <w:t xml:space="preserve"> </w:t>
      </w:r>
      <w:r>
        <w:t xml:space="preserve">The most significant hotspot is the Use of Sold Products (Category 11), contributing approximately 23.75 kgCO2e/unit, representing about 73% of the total footprint. This highlights energy efficiency during product operation as a critical area for reduction.</w:t>
      </w:r>
    </w:p>
    <w:p>
      <w:pPr>
        <w:numPr>
          <w:ilvl w:val="0"/>
          <w:numId w:val="1017"/>
        </w:numPr>
        <w:pStyle w:val="Compact"/>
      </w:pPr>
      <w:r>
        <w:rPr>
          <w:bCs/>
          <w:b/>
        </w:rPr>
        <w:t xml:space="preserve">Material Impact:</w:t>
      </w:r>
      <w:r>
        <w:t xml:space="preserve"> </w:t>
      </w:r>
      <w:r>
        <w:t xml:space="preserve">Purchased Goods and Services (Category 1) contribute substantially with 9.13 kgCO2e/unit (approx. 28%), indicating that material selection and design for lower-impact materials are crucial.</w:t>
      </w:r>
    </w:p>
    <w:p>
      <w:pPr>
        <w:numPr>
          <w:ilvl w:val="0"/>
          <w:numId w:val="1017"/>
        </w:numPr>
        <w:pStyle w:val="Compact"/>
      </w:pPr>
      <w:r>
        <w:rPr>
          <w:bCs/>
          <w:b/>
        </w:rPr>
        <w:t xml:space="preserve">Renewable Energy Impact:</w:t>
      </w:r>
      <w:r>
        <w:t xml:space="preserve"> </w:t>
      </w:r>
      <w:r>
        <w:t xml:space="preserve">The 60% renewable energy usage in production significantly reduces Scope 2 emissions. Without this, Scope 2 would be 2.5 kWh/unit * 0.60 kgCO2e/kWh = 1.50 kgCO2e/unit, increasing the overall footprint.</w:t>
      </w:r>
    </w:p>
    <w:p>
      <w:pPr>
        <w:numPr>
          <w:ilvl w:val="0"/>
          <w:numId w:val="1017"/>
        </w:numPr>
        <w:pStyle w:val="Compact"/>
      </w:pPr>
      <w:r>
        <w:rPr>
          <w:bCs/>
          <w:b/>
        </w:rPr>
        <w:t xml:space="preserve">End-of-Life Benefits:</w:t>
      </w:r>
      <w:r>
        <w:t xml:space="preserve"> </w:t>
      </w:r>
      <w:r>
        <w:t xml:space="preserve">The high recyclability percentage (80%) and the presence of circular programs lead to a net carbon removal in the End-of-Life phase (-1.10 kgCO2e), showcasing the positive impact of circular economy initiatives.</w:t>
      </w:r>
    </w:p>
    <w:p>
      <w:pPr>
        <w:numPr>
          <w:ilvl w:val="0"/>
          <w:numId w:val="1017"/>
        </w:numPr>
        <w:pStyle w:val="Compact"/>
      </w:pPr>
      <w:r>
        <w:rPr>
          <w:bCs/>
          <w:b/>
        </w:rPr>
        <w:t xml:space="preserve">Transportation:</w:t>
      </w:r>
      <w:r>
        <w:t xml:space="preserve"> </w:t>
      </w:r>
      <w:r>
        <w:t xml:space="preserve">Both upstream and downstream transportation contribute relatively minor shares, though optimization can always be considered.</w:t>
      </w:r>
    </w:p>
    <w:bookmarkEnd w:id="43"/>
    <w:bookmarkStart w:id="44" w:name="reliability-and-limitations"/>
    <w:p>
      <w:pPr>
        <w:pStyle w:val="Heading3"/>
      </w:pPr>
      <w:r>
        <w:t xml:space="preserve">4.2. Reliability and Limitations</w:t>
      </w:r>
    </w:p>
    <w:p>
      <w:pPr>
        <w:numPr>
          <w:ilvl w:val="0"/>
          <w:numId w:val="1018"/>
        </w:numPr>
        <w:pStyle w:val="Compact"/>
      </w:pPr>
      <w:r>
        <w:rPr>
          <w:bCs/>
          <w:b/>
        </w:rPr>
        <w:t xml:space="preserve">Data Quality:</w:t>
      </w:r>
      <w:r>
        <w:t xml:space="preserve"> </w:t>
      </w:r>
      <w:r>
        <w:t xml:space="preserve">This analysis relies on a combination of primary data (provided parameters) and secondary data (industry average emission factors). The accuracy of the primary data, specifically the BOM `rjgzegej` and energy parameters, is critical. For parameters provided as generic strings (e.g., `Select Mode`, `Delivery Type`), industry average values were used, which might not perfectly reflect ivlftjizfp\'s specific logistics.</w:t>
      </w:r>
    </w:p>
    <w:p>
      <w:pPr>
        <w:numPr>
          <w:ilvl w:val="0"/>
          <w:numId w:val="1018"/>
        </w:numPr>
        <w:pStyle w:val="Compact"/>
      </w:pPr>
      <w:r>
        <w:rPr>
          <w:bCs/>
          <w:b/>
        </w:rPr>
        <w:t xml:space="preserve">System Boundary:</w:t>
      </w:r>
      <w:r>
        <w:t xml:space="preserve"> </w:t>
      </w:r>
      <w:r>
        <w:t xml:space="preserve">While \'factory_gate\' was the primary boundary, extending the analysis to cover the entire lifecycle ensures a comprehensive understanding as per GHG Protocol requirements.</w:t>
      </w:r>
    </w:p>
    <w:p>
      <w:pPr>
        <w:numPr>
          <w:ilvl w:val="0"/>
          <w:numId w:val="1018"/>
        </w:numPr>
        <w:pStyle w:val="Compact"/>
      </w:pPr>
      <w:r>
        <w:rPr>
          <w:bCs/>
          <w:b/>
        </w:rPr>
        <w:t xml:space="preserve">Assumptions:</w:t>
      </w:r>
      <w:r>
        <w:t xml:space="preserve"> </w:t>
      </w:r>
      <w:r>
        <w:t xml:space="preserve">Several assumptions were made for emission factors (e.g., for electricity grids, transport modes, and EoL processes) where specific values were not provided. These assumptions are based on widely accepted industry averages but can introduce uncertainties.</w:t>
      </w:r>
    </w:p>
    <w:p>
      <w:pPr>
        <w:numPr>
          <w:ilvl w:val="0"/>
          <w:numId w:val="1018"/>
        </w:numPr>
        <w:pStyle w:val="Compact"/>
      </w:pPr>
      <w:r>
        <w:rPr>
          <w:bCs/>
          <w:b/>
        </w:rPr>
        <w:t xml:space="preserve">LSR Standard:</w:t>
      </w:r>
      <w:r>
        <w:t xml:space="preserve"> </w:t>
      </w:r>
      <w:r>
        <w:t xml:space="preserve">The application of the 2026 LSR Standard is noted; however, without specific data on bio-based materials or direct land-use impacts, its quantitative contribution to this PCF is minimal. Further assessment would be required if the product incorporates such materials or if ivlftjizfp has significant land-related operations.</w:t>
      </w:r>
    </w:p>
    <w:bookmarkEnd w:id="44"/>
    <w:bookmarkStart w:id="45" w:name="recommendations"/>
    <w:p>
      <w:pPr>
        <w:pStyle w:val="Heading3"/>
      </w:pPr>
      <w:r>
        <w:t xml:space="preserve">4.3. Recommendations</w:t>
      </w:r>
    </w:p>
    <w:p>
      <w:pPr>
        <w:pStyle w:val="FirstParagraph"/>
      </w:pPr>
      <w:r>
        <w:t xml:space="preserve">Based on this PCF analysis, ivlftjizfp should consider the following:</w:t>
      </w:r>
    </w:p>
    <w:p>
      <w:pPr>
        <w:numPr>
          <w:ilvl w:val="0"/>
          <w:numId w:val="1019"/>
        </w:numPr>
        <w:pStyle w:val="Compact"/>
      </w:pPr>
      <w:r>
        <w:rPr>
          <w:bCs/>
          <w:b/>
        </w:rPr>
        <w:t xml:space="preserve">Energy Efficiency in Use:</w:t>
      </w:r>
      <w:r>
        <w:t xml:space="preserve"> </w:t>
      </w:r>
      <w:r>
        <w:t xml:space="preserve">Investigate opportunities to reduce the energy consumption of fuindhqxey during its use phase, as this is the dominant emission hotspot. This could involve design changes, software optimizations, or offering more energy-efficient models.</w:t>
      </w:r>
    </w:p>
    <w:p>
      <w:pPr>
        <w:numPr>
          <w:ilvl w:val="0"/>
          <w:numId w:val="1019"/>
        </w:numPr>
        <w:pStyle w:val="Compact"/>
      </w:pPr>
      <w:r>
        <w:rPr>
          <w:bCs/>
          <w:b/>
        </w:rPr>
        <w:t xml:space="preserve">Sustainable Material Sourcing:</w:t>
      </w:r>
      <w:r>
        <w:t xml:space="preserve"> </w:t>
      </w:r>
      <w:r>
        <w:t xml:space="preserve">Explore lower-carbon alternatives for key materials identified in the BOM. Engage with suppliers to obtain product-specific environmental declarations (EPDs) for higher accuracy.</w:t>
      </w:r>
    </w:p>
    <w:p>
      <w:pPr>
        <w:numPr>
          <w:ilvl w:val="0"/>
          <w:numId w:val="1019"/>
        </w:numPr>
        <w:pStyle w:val="Compact"/>
      </w:pPr>
      <w:r>
        <w:rPr>
          <w:bCs/>
          <w:b/>
        </w:rPr>
        <w:t xml:space="preserve">Increase Renewable Energy:</w:t>
      </w:r>
      <w:r>
        <w:t xml:space="preserve"> </w:t>
      </w:r>
      <w:r>
        <w:t xml:space="preserve">Further increase the share of renewable energy used in the China production facility beyond the current 60% to minimize Scope 2 emissions.</w:t>
      </w:r>
    </w:p>
    <w:p>
      <w:pPr>
        <w:numPr>
          <w:ilvl w:val="0"/>
          <w:numId w:val="1019"/>
        </w:numPr>
        <w:pStyle w:val="Compact"/>
      </w:pPr>
      <w:r>
        <w:rPr>
          <w:bCs/>
          <w:b/>
        </w:rPr>
        <w:t xml:space="preserve">Circular Economy Expansion:</w:t>
      </w:r>
      <w:r>
        <w:t xml:space="preserve"> </w:t>
      </w:r>
      <w:r>
        <w:t xml:space="preserve">Continue to strengthen take-back and recycling programs, potentially expanding to new regions or exploring remanufacturing opportunities to further leverage end-of-life benefits.</w:t>
      </w:r>
    </w:p>
    <w:p>
      <w:pPr>
        <w:numPr>
          <w:ilvl w:val="0"/>
          <w:numId w:val="1019"/>
        </w:numPr>
        <w:pStyle w:val="Compact"/>
      </w:pPr>
      <w:r>
        <w:rPr>
          <w:bCs/>
          <w:b/>
        </w:rPr>
        <w:t xml:space="preserve">Data Collection Improvement:</w:t>
      </w:r>
      <w:r>
        <w:t xml:space="preserve"> </w:t>
      </w:r>
      <w:r>
        <w:t xml:space="preserve">Continuously improve the collection of primary data for all lifecycle stages, especially for transport logistics and the precise energy mix of upstream suppliers, to enhance the accuracy and reliability of future PCF assessments.</w:t>
      </w:r>
    </w:p>
    <w:bookmarkEnd w:id="45"/>
    <w:bookmarkEnd w:id="46"/>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fuindhqxey</dc:title>
  <dc:creator/>
  <dc:description>Detailed Product Carbon Footprint (PCF) analysis for fuindhqxey, conducted by jslwxtiymf of ivlftjizfp, adhering to GHG Protocol standards and 2026 LSR updates.</dc:description>
  <dc:language>en</dc:language>
  <cp:keywords/>
  <dcterms:created xsi:type="dcterms:W3CDTF">2026-05-30T18:34:16Z</dcterms:created>
  <dcterms:modified xsi:type="dcterms:W3CDTF">2026-05-30T18:34:16Z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