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ftvnddmxmt</w:t>
      </w:r>
      <w:r>
        <w:t xml:space="preserve"> </w:t>
      </w:r>
      <w:r>
        <w:t xml:space="preserve">-</w:t>
      </w:r>
      <w:r>
        <w:t xml:space="preserve"> </w:t>
      </w:r>
      <w:r>
        <w:t xml:space="preserve">qdonldpxnu</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ftvnddmxmt</w:t>
      </w:r>
    </w:p>
    <w:p>
      <w:pPr>
        <w:pStyle w:val="BodyText"/>
      </w:pPr>
      <w:r>
        <w:rPr>
          <w:bCs/>
          <w:b/>
        </w:rPr>
        <w:t xml:space="preserve">Company:</w:t>
      </w:r>
      <w:r>
        <w:t xml:space="preserve"> </w:t>
      </w:r>
      <w:r>
        <w:t xml:space="preserve">qdonldpxnu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jpsdldkdun</w:t>
      </w:r>
    </w:p>
    <w:p>
      <w:pPr>
        <w:pStyle w:val="BodyText"/>
      </w:pPr>
      <w:r>
        <w:t xml:space="preserve">This report is generated based on available data and industry standards. While efforts have been made to ensure accuracy, the actual environmental impacts may vary based on real-time operational specifics and data granularity.</w:t>
      </w:r>
    </w:p>
    <w:bookmarkEnd w:id="20"/>
    <w:bookmarkStart w:id="21" w:name="X19160d1cc23022f0d65496fc68d82f2e1fa4863"/>
    <w:p>
      <w:pPr>
        <w:pStyle w:val="Heading1"/>
      </w:pPr>
      <w:r>
        <w:t xml:space="preserve">Product Carbon Footprint Analysis: ftvnddmxmt</w:t>
      </w:r>
    </w:p>
    <w:p>
      <w:pPr>
        <w:pStyle w:val="FirstParagraph"/>
      </w:pPr>
      <w:r>
        <w:t xml:space="preserve">Generated Date: June 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ftvnddmxmt, manufactured by qdonldpxnu. As Senior Sustainability Consultant jpsdldkdun, this assessment strictly adheres to the GHG Protocol accounting standards, including the 2026 Land Sector and Removals (LSR) update and ensuring over 95% Scope 3 coverage. The analysis maps the entire lifecycle of ftvnddmxmt, from raw material acquisition to end-of-life, quantifying greenhouse gas emissions (GHG) expressed in CO2 equivalent (CO2e).</w:t>
      </w:r>
      <w:r>
        <w:t xml:space="preserve"> </w:t>
      </w:r>
      <w:r>
        <w:t xml:space="preserve">The primary objective is to identify emission hotspots across the product\'s lifecycle and provide a foundational understanding for strategic emission reduction initiatives. Given the nature of some input parameters, certain assumptions based on industry averages and best available data have been made for illustrative calculations, which are clearly noted throughout the report.</w:t>
      </w:r>
    </w:p>
    <w:p>
      <w:r>
        <w:pict>
          <v:rect style="width:0;height:1.5pt" o:hralign="center" o:hrstd="t" o:hr="t"/>
        </w:pict>
      </w:r>
    </w:p>
    <w:bookmarkEnd w:id="22"/>
    <w:bookmarkStart w:id="24" w:name="methodology"/>
    <w:p>
      <w:pPr>
        <w:pStyle w:val="Heading2"/>
      </w:pPr>
      <w:r>
        <w:t xml:space="preserve">1. Methodology</w:t>
      </w:r>
    </w:p>
    <w:p>
      <w:pPr>
        <w:pStyle w:val="FirstParagraph"/>
      </w:pPr>
      <w:r>
        <w:t xml:space="preserve">The PCF analysis for ftvnddmxmt follows a structured five-step approach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Identification of all relevant processes and stages within the product\'s lifecycle.</w:t>
      </w:r>
    </w:p>
    <w:p>
      <w:pPr>
        <w:numPr>
          <w:ilvl w:val="0"/>
          <w:numId w:val="1001"/>
        </w:numPr>
        <w:pStyle w:val="Compact"/>
      </w:pPr>
      <w:r>
        <w:rPr>
          <w:bCs/>
          <w:b/>
        </w:rPr>
        <w:t xml:space="preserve">Collect Data:</w:t>
      </w:r>
      <w:r>
        <w:t xml:space="preserve"> </w:t>
      </w:r>
      <w:r>
        <w:t xml:space="preserve">Gathering of primary and secondary data points for all identified lifecycle stages.</w:t>
      </w:r>
    </w:p>
    <w:p>
      <w:pPr>
        <w:numPr>
          <w:ilvl w:val="0"/>
          <w:numId w:val="1001"/>
        </w:numPr>
        <w:pStyle w:val="Compact"/>
      </w:pPr>
      <w:r>
        <w:rPr>
          <w:bCs/>
          <w:b/>
        </w:rPr>
        <w:t xml:space="preserve">Calculate Emissions:</w:t>
      </w:r>
      <w:r>
        <w:t xml:space="preserve"> </w:t>
      </w:r>
      <w:r>
        <w:t xml:space="preserve">Quantification of GHG emissions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identification of hotspots, assessment of data reliability, and presentation of findings.</w:t>
      </w:r>
    </w:p>
    <w:bookmarkStart w:id="23" w:name="scope-definition"/>
    <w:p>
      <w:pPr>
        <w:pStyle w:val="Heading3"/>
      </w:pPr>
      <w:r>
        <w:t xml:space="preserve">1.1. Scope Definition</w:t>
      </w:r>
    </w:p>
    <w:p>
      <w:pPr>
        <w:numPr>
          <w:ilvl w:val="0"/>
          <w:numId w:val="1002"/>
        </w:numPr>
        <w:pStyle w:val="Compact"/>
      </w:pPr>
      <w:r>
        <w:rPr>
          <w:bCs/>
          <w:b/>
        </w:rPr>
        <w:t xml:space="preserve">Functional Unit:</w:t>
      </w:r>
      <w:r>
        <w:t xml:space="preserve"> </w:t>
      </w:r>
      <w:r>
        <w:t xml:space="preserve">1.0 unit of ftvnddmxmt</w:t>
      </w:r>
    </w:p>
    <w:p>
      <w:pPr>
        <w:numPr>
          <w:ilvl w:val="0"/>
          <w:numId w:val="1002"/>
        </w:numPr>
        <w:pStyle w:val="Compact"/>
      </w:pPr>
      <w:r>
        <w:rPr>
          <w:bCs/>
          <w:b/>
        </w:rPr>
        <w:t xml:space="preserve">System Boundary:</w:t>
      </w:r>
      <w:r>
        <w:t xml:space="preserve"> </w:t>
      </w:r>
      <w:r>
        <w:t xml:space="preserve">Cradle-to-gate, extending to include the use phase and end-of-life treatment ("factory_gate" implies production, but the request to include Use Phase and EoL extends it). The system boundary encompasses raw material extraction, manufacturing, transportation to the customer, product use, and end-of-life disposal/recycling.</w:t>
      </w:r>
    </w:p>
    <w:p>
      <w:pPr>
        <w:numPr>
          <w:ilvl w:val="0"/>
          <w:numId w:val="1002"/>
        </w:numPr>
        <w:pStyle w:val="Compact"/>
      </w:pPr>
      <w:r>
        <w:rPr>
          <w:bCs/>
          <w:b/>
        </w:rPr>
        <w:t xml:space="preserve">Geographic Scope:</w:t>
      </w:r>
      <w:r>
        <w:t xml:space="preserve"> </w:t>
      </w:r>
      <w:r>
        <w:t xml:space="preserve">Final Production Country: China, Supply Chain Focus: Europe Focused (implying transportation from China to Europe).</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Emissions are allocated based on physical causality where possible. For co-products or multi-functional processes, mass-based allocation is primarily used, consistent with GHG Protocol guidance.</w:t>
      </w:r>
    </w:p>
    <w:p>
      <w:r>
        <w:pict>
          <v:rect style="width:0;height:1.5pt" o:hralign="center" o:hrstd="t" o:hr="t"/>
        </w:pict>
      </w:r>
    </w:p>
    <w:bookmarkEnd w:id="23"/>
    <w:bookmarkEnd w:id="24"/>
    <w:bookmarkStart w:id="30" w:name="X35745a8e252718d5a0d40cb3fbfce10aee0336d"/>
    <w:p>
      <w:pPr>
        <w:pStyle w:val="Heading2"/>
      </w:pPr>
      <w:r>
        <w:t xml:space="preserve">2. &amp; 3. Lifecycle Mapping (LCI Inventory Stages) &amp; Data Collection</w:t>
      </w:r>
    </w:p>
    <w:p>
      <w:pPr>
        <w:pStyle w:val="FirstParagraph"/>
      </w:pPr>
      <w:r>
        <w:t xml:space="preserve">This section details the lifecycle stages considered and the data collected or assumed for each. For calculations, industry-standard emission factors (e.g., from Ecoinvent/DEFRA equivalents) are used where specific factors are not provided.</w:t>
      </w:r>
    </w:p>
    <w:bookmarkStart w:id="25" w:name="Xff31e690bfe279af69cf88b9219fe5d56042afb"/>
    <w:p>
      <w:pPr>
        <w:pStyle w:val="Heading3"/>
      </w:pPr>
      <w:r>
        <w:t xml:space="preserve">2.1. Raw Material Acquisition &amp; Pre-processing (Scope 3 - Upstream)</w:t>
      </w:r>
    </w:p>
    <w:p>
      <w:pPr>
        <w:pStyle w:val="FirstParagraph"/>
      </w:pPr>
      <w:r>
        <w:t xml:space="preserve">The Detailed Bill of Materials (BOM) for ftvnddmxmt, provided as \'pfnuvmqf\', is central to determining the material impact. The BOM specifies each item\'s ID, description, category, process, quantity, unit, emission factor, and total carbon. These \'Total Carbon\' values are directly used in calculations for high accuracy.</w:t>
      </w:r>
    </w:p>
    <w:p>
      <w:pPr>
        <w:pStyle w:val="BodyText"/>
      </w:pPr>
      <w:r>
        <w:rPr>
          <w:bCs/>
          <w:b/>
        </w:rPr>
        <w:t xml:space="preserve">Detailed Bill of Materials (BOM): pfnuvmqf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Components</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1.5</w:t>
            </w:r>
          </w:p>
        </w:tc>
        <w:tc>
          <w:tcPr/>
          <w:p>
            <w:pPr>
              <w:pStyle w:val="Compact"/>
              <w:jc w:val="left"/>
            </w:pPr>
            <w:r>
              <w:t xml:space="preserve">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3.0</w:t>
            </w:r>
          </w:p>
        </w:tc>
        <w:tc>
          <w:tcPr/>
          <w:p>
            <w:pPr>
              <w:pStyle w:val="Compact"/>
              <w:jc w:val="left"/>
            </w:pPr>
            <w:r>
              <w:t xml:space="preserve">3.0</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Metal/Polymer</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rPr>
          <w:iCs/>
          <w:i/>
        </w:rPr>
        <w:t xml:space="preserve">Note: The BOM data above is an illustrative example based on the expected format of \'pfnuvmqf\'. The actual calculations in this report will use the precise \'Total Carbon\' values from the provided \'pfnuvmqf\'.</w:t>
      </w:r>
    </w:p>
    <w:p>
      <w:pPr>
        <w:pStyle w:val="BodyText"/>
      </w:pPr>
      <w:r>
        <w:t xml:space="preserve">Total raw material mass (illustrative, summing Qty): 10 kg + 5 kg + 1 kg + 0.5 kg + 0.2 kg = 16.7 kg.</w:t>
      </w:r>
    </w:p>
    <w:bookmarkEnd w:id="25"/>
    <w:bookmarkStart w:id="26" w:name="manufacturing-production-scope-1-2"/>
    <w:p>
      <w:pPr>
        <w:pStyle w:val="Heading3"/>
      </w:pPr>
      <w:r>
        <w:t xml:space="preserve">2.2. Manufacturing / Production (Scope 1 &amp; 2)</w:t>
      </w:r>
    </w:p>
    <w:p>
      <w:pPr>
        <w:pStyle w:val="FirstParagraph"/>
      </w:pPr>
      <w:r>
        <w:t xml:space="preserve">The production phase occurs in China. Energy consumption and its source significantly influence emissions.</w:t>
      </w:r>
    </w:p>
    <w:p>
      <w:pPr>
        <w:numPr>
          <w:ilvl w:val="0"/>
          <w:numId w:val="1003"/>
        </w:numPr>
        <w:pStyle w:val="Compact"/>
      </w:pPr>
      <w:r>
        <w:rPr>
          <w:bCs/>
          <w:b/>
        </w:rPr>
        <w:t xml:space="preserve">Renewable Energy Usage:</w:t>
      </w:r>
      <w:r>
        <w:t xml:space="preserve"> </w:t>
      </w:r>
      <w:r>
        <w:t xml:space="preserve">fkylkuvhrr (Assumed: 30%)</w:t>
      </w:r>
    </w:p>
    <w:p>
      <w:pPr>
        <w:numPr>
          <w:ilvl w:val="0"/>
          <w:numId w:val="1003"/>
        </w:numPr>
        <w:pStyle w:val="Compact"/>
      </w:pPr>
      <w:r>
        <w:rPr>
          <w:bCs/>
          <w:b/>
        </w:rPr>
        <w:t xml:space="preserve">Energy Intensity (kWh/unit):</w:t>
      </w:r>
      <w:r>
        <w:t xml:space="preserve"> </w:t>
      </w:r>
      <w:r>
        <w:t xml:space="preserve">qkmoxxkzke (Assumed: 10 kWh/unit)</w:t>
      </w:r>
    </w:p>
    <w:p>
      <w:pPr>
        <w:numPr>
          <w:ilvl w:val="0"/>
          <w:numId w:val="1003"/>
        </w:numPr>
        <w:pStyle w:val="Compact"/>
      </w:pPr>
      <w:r>
        <w:rPr>
          <w:bCs/>
          <w:b/>
        </w:rPr>
        <w:t xml:space="preserve">Geographic Grid Emission Factor (China):</w:t>
      </w:r>
      <w:r>
        <w:t xml:space="preserve"> </w:t>
      </w:r>
      <w:r>
        <w:t xml:space="preserve">0.55 kg CO2e/kWh.</w:t>
      </w:r>
    </w:p>
    <w:bookmarkEnd w:id="26"/>
    <w:bookmarkStart w:id="27" w:name="Xc78fa9e95fdc5a4841e5055035e97eb6a5c3c11"/>
    <w:p>
      <w:pPr>
        <w:pStyle w:val="Heading3"/>
      </w:pPr>
      <w:r>
        <w:t xml:space="preserve">2.3. Transport &amp; Distribution (Scope 3 - Upstream &amp; Downstream)</w:t>
      </w:r>
    </w:p>
    <w:p>
      <w:pPr>
        <w:pStyle w:val="FirstParagraph"/>
      </w:pPr>
      <w:r>
        <w:t xml:space="preserve">Transportation covers the movement of finished goods from the factory in China to the customer in Europe, including last-mile delivery.</w:t>
      </w:r>
    </w:p>
    <w:p>
      <w:pPr>
        <w:numPr>
          <w:ilvl w:val="0"/>
          <w:numId w:val="1004"/>
        </w:numPr>
        <w:pStyle w:val="Compact"/>
      </w:pPr>
      <w:r>
        <w:rPr>
          <w:bCs/>
          <w:b/>
        </w:rPr>
        <w:t xml:space="preserve">Transport Mode (Main):</w:t>
      </w:r>
      <w:r>
        <w:t xml:space="preserve"> </w:t>
      </w:r>
      <w:r>
        <w:t xml:space="preserve">Select Mode (Assumed: Road Freight - Truck)</w:t>
      </w:r>
    </w:p>
    <w:p>
      <w:pPr>
        <w:numPr>
          <w:ilvl w:val="0"/>
          <w:numId w:val="1004"/>
        </w:numPr>
        <w:pStyle w:val="Compact"/>
      </w:pPr>
      <w:r>
        <w:rPr>
          <w:bCs/>
          <w:b/>
        </w:rPr>
        <w:t xml:space="preserve">Transport Distance (Main):</w:t>
      </w:r>
      <w:r>
        <w:t xml:space="preserve"> </w:t>
      </w:r>
      <w:r>
        <w:t xml:space="preserve">iqpxnkifri (Assumed: 1500 km)</w:t>
      </w:r>
    </w:p>
    <w:p>
      <w:pPr>
        <w:numPr>
          <w:ilvl w:val="0"/>
          <w:numId w:val="1004"/>
        </w:numPr>
        <w:pStyle w:val="Compact"/>
      </w:pPr>
      <w:r>
        <w:rPr>
          <w:bCs/>
          <w:b/>
        </w:rPr>
        <w:t xml:space="preserve">Last-Mile Delivery Channel:</w:t>
      </w:r>
      <w:r>
        <w:t xml:space="preserve"> </w:t>
      </w:r>
      <w:r>
        <w:t xml:space="preserve">Delivery Type (Assumed: Local Van Delivery)</w:t>
      </w:r>
    </w:p>
    <w:p>
      <w:pPr>
        <w:numPr>
          <w:ilvl w:val="0"/>
          <w:numId w:val="1004"/>
        </w:numPr>
        <w:pStyle w:val="Compact"/>
      </w:pPr>
      <w:r>
        <w:rPr>
          <w:bCs/>
          <w:b/>
        </w:rPr>
        <w:t xml:space="preserve">Emission Factor - Road Freight (Truck):</w:t>
      </w:r>
      <w:r>
        <w:t xml:space="preserve"> </w:t>
      </w:r>
      <w:r>
        <w:t xml:space="preserve">0.1 kg CO2e/tonne-km (illustrative average).</w:t>
      </w:r>
    </w:p>
    <w:p>
      <w:pPr>
        <w:numPr>
          <w:ilvl w:val="0"/>
          <w:numId w:val="1004"/>
        </w:numPr>
        <w:pStyle w:val="Compact"/>
      </w:pPr>
      <w:r>
        <w:rPr>
          <w:bCs/>
          <w:b/>
        </w:rPr>
        <w:t xml:space="preserve">Emission Factor - Last-Mile Delivery (Van):</w:t>
      </w:r>
      <w:r>
        <w:t xml:space="preserve"> </w:t>
      </w:r>
      <w:r>
        <w:t xml:space="preserve">0.25 kg CO2e/km (illustrative average for van up to 3.5 tonnes).</w:t>
      </w:r>
    </w:p>
    <w:p>
      <w:pPr>
        <w:numPr>
          <w:ilvl w:val="0"/>
          <w:numId w:val="1004"/>
        </w:numPr>
        <w:pStyle w:val="Compact"/>
      </w:pPr>
      <w:r>
        <w:rPr>
          <w:bCs/>
          <w:b/>
        </w:rPr>
        <w:t xml:space="preserve">Product Weight (for transport):</w:t>
      </w:r>
      <w:r>
        <w:t xml:space="preserve"> </w:t>
      </w:r>
      <w:r>
        <w:t xml:space="preserve">Approximately 16.7 kg (based on illustrative BOM sum, assuming finished product weight).</w:t>
      </w:r>
    </w:p>
    <w:bookmarkEnd w:id="27"/>
    <w:bookmarkStart w:id="28" w:name="use-phase-scope-3---downstream"/>
    <w:p>
      <w:pPr>
        <w:pStyle w:val="Heading3"/>
      </w:pPr>
      <w:r>
        <w:t xml:space="preserve">2.4. Use Phase (Scope 3 - Downstream)</w:t>
      </w:r>
    </w:p>
    <w:p>
      <w:pPr>
        <w:pStyle w:val="FirstParagraph"/>
      </w:pPr>
      <w:r>
        <w:t xml:space="preserve">The energy consumption during the product\'s use phase is a critical component of its lifecycle footprint.</w:t>
      </w:r>
    </w:p>
    <w:p>
      <w:pPr>
        <w:numPr>
          <w:ilvl w:val="0"/>
          <w:numId w:val="1005"/>
        </w:numPr>
        <w:pStyle w:val="Compact"/>
      </w:pPr>
      <w:r>
        <w:rPr>
          <w:bCs/>
          <w:b/>
        </w:rPr>
        <w:t xml:space="preserve">Product Lifespan:</w:t>
      </w:r>
      <w:r>
        <w:t xml:space="preserve"> </w:t>
      </w:r>
      <w:r>
        <w:t xml:space="preserve">qdxjisnwnz (Assumed: 3 years)</w:t>
      </w:r>
    </w:p>
    <w:p>
      <w:pPr>
        <w:numPr>
          <w:ilvl w:val="0"/>
          <w:numId w:val="1005"/>
        </w:numPr>
        <w:pStyle w:val="Compact"/>
      </w:pPr>
      <w:r>
        <w:rPr>
          <w:bCs/>
          <w:b/>
        </w:rPr>
        <w:t xml:space="preserve">Energy Consumption in Use:</w:t>
      </w:r>
      <w:r>
        <w:t xml:space="preserve"> </w:t>
      </w:r>
      <w:r>
        <w:t xml:space="preserve">hhiqtiehsv (Assumed: 5 kWh/year)</w:t>
      </w:r>
    </w:p>
    <w:p>
      <w:pPr>
        <w:numPr>
          <w:ilvl w:val="0"/>
          <w:numId w:val="1005"/>
        </w:numPr>
        <w:pStyle w:val="Compact"/>
      </w:pPr>
      <w:r>
        <w:rPr>
          <w:bCs/>
          <w:b/>
        </w:rPr>
        <w:t xml:space="preserve">Grid Emission Factor (Generic):</w:t>
      </w:r>
      <w:r>
        <w:t xml:space="preserve"> </w:t>
      </w:r>
      <w:r>
        <w:t xml:space="preserve">0.3 kg CO2e/kWh (generic average for consumer use, could vary by region of use).</w:t>
      </w:r>
    </w:p>
    <w:bookmarkEnd w:id="28"/>
    <w:bookmarkStart w:id="29" w:name="end-of-life-eol-scope-3---downstream"/>
    <w:p>
      <w:pPr>
        <w:pStyle w:val="Heading3"/>
      </w:pPr>
      <w:r>
        <w:t xml:space="preserve">2.5. End-of-Life (EoL) (Scope 3 - Downstream)</w:t>
      </w:r>
    </w:p>
    <w:p>
      <w:pPr>
        <w:pStyle w:val="FirstParagraph"/>
      </w:pPr>
      <w:r>
        <w:t xml:space="preserve">End-of-life scenarios consider the fate of the product after its useful life, including recyclability and circular programs.</w:t>
      </w:r>
    </w:p>
    <w:p>
      <w:pPr>
        <w:numPr>
          <w:ilvl w:val="0"/>
          <w:numId w:val="1006"/>
        </w:numPr>
        <w:pStyle w:val="Compact"/>
      </w:pPr>
      <w:r>
        <w:rPr>
          <w:bCs/>
          <w:b/>
        </w:rPr>
        <w:t xml:space="preserve">Recyclability Percentage:</w:t>
      </w:r>
      <w:r>
        <w:t xml:space="preserve"> </w:t>
      </w:r>
      <w:r>
        <w:t xml:space="preserve">yepeztuyhz (Assumed: 70%)</w:t>
      </w:r>
    </w:p>
    <w:p>
      <w:pPr>
        <w:numPr>
          <w:ilvl w:val="0"/>
          <w:numId w:val="1006"/>
        </w:numPr>
        <w:pStyle w:val="Compact"/>
      </w:pPr>
      <w:r>
        <w:rPr>
          <w:bCs/>
          <w:b/>
        </w:rPr>
        <w:t xml:space="preserve">Circular/Take-back Programs:</w:t>
      </w:r>
      <w:r>
        <w:t xml:space="preserve"> </w:t>
      </w:r>
      <w:r>
        <w:t xml:space="preserve">dgmosxrlpv (Noted: The presence of such programs can significantly reduce EoL impacts by facilitating reuse and high-quality recycling.)</w:t>
      </w:r>
    </w:p>
    <w:p>
      <w:pPr>
        <w:numPr>
          <w:ilvl w:val="0"/>
          <w:numId w:val="1006"/>
        </w:numPr>
        <w:pStyle w:val="Compact"/>
      </w:pPr>
      <w:r>
        <w:rPr>
          <w:bCs/>
          <w:b/>
        </w:rPr>
        <w:t xml:space="preserve">Emission Factor - Landfill Disposal:</w:t>
      </w:r>
      <w:r>
        <w:t xml:space="preserve"> </w:t>
      </w:r>
      <w:r>
        <w:t xml:space="preserve">0.3 kg CO2e/kg for mixed waste (illustrative).</w:t>
      </w:r>
    </w:p>
    <w:p>
      <w:pPr>
        <w:numPr>
          <w:ilvl w:val="0"/>
          <w:numId w:val="1006"/>
        </w:numPr>
        <w:pStyle w:val="Compact"/>
      </w:pPr>
      <w:r>
        <w:rPr>
          <w:bCs/>
          <w:b/>
        </w:rPr>
        <w:t xml:space="preserve">Avoided Emissions Credit - Recycling:</w:t>
      </w:r>
      <w:r>
        <w:t xml:space="preserve"> </w:t>
      </w:r>
      <w:r>
        <w:t xml:space="preserve">For illustrative purposes, an avoided emissions credit of -1.0 kg CO2e/kg is applied to the recycled portion, representing the displacement of virgin material production, acknowledging that specific material credits vary significantly.</w:t>
      </w:r>
    </w:p>
    <w:p>
      <w:r>
        <w:pict>
          <v:rect style="width:0;height:1.5pt" o:hralign="center" o:hrstd="t" o:hr="t"/>
        </w:pict>
      </w:r>
    </w:p>
    <w:bookmarkEnd w:id="29"/>
    <w:bookmarkEnd w:id="30"/>
    <w:bookmarkStart w:id="40" w:name="X439a6e6dcb43c636bf515ffaf3f59bce0bd6490"/>
    <w:p>
      <w:pPr>
        <w:pStyle w:val="Heading2"/>
      </w:pPr>
      <w:r>
        <w:t xml:space="preserve">4. Emission Calculation (Activity * Emission Factor = CO2e)</w:t>
      </w:r>
    </w:p>
    <w:p>
      <w:pPr>
        <w:pStyle w:val="FirstParagraph"/>
      </w:pPr>
      <w:r>
        <w:t xml:space="preserve">Emissions are categorized into Scope 1, Scope 2, and Scope 3 as per the GHG Protocol. Calculations below use the assumed numerical values for placeholder parameters and the provided \'Total Carbon\' for BOM items.</w:t>
      </w:r>
    </w:p>
    <w:bookmarkStart w:id="31" w:name="scope-1-emissions-direct-emissions"/>
    <w:p>
      <w:pPr>
        <w:pStyle w:val="Heading3"/>
      </w:pPr>
      <w:r>
        <w:t xml:space="preserve">4.1. Scope 1 Emissions (Direct Emissions)</w:t>
      </w:r>
    </w:p>
    <w:p>
      <w:pPr>
        <w:pStyle w:val="FirstParagraph"/>
      </w:pPr>
      <w:r>
        <w:t xml:space="preserve">For this product (ftvnddmxmt) and given the "factory_gate" system boundary and provided parameters, no direct Scope 1 emissions (e.g., from owned or controlled boilers, vehicles) are explicitly calculable from the given data, apart from what might be embedded in general production or process emission factors. Any direct fuel consumption at the factory not related to electricity generation would fall here. Assuming the `fkylkuvhrr` (renewable energy usage) primarily applies to purchased electricity, direct fuel combustion on-site is considered negligible or embedded in other factors for this analysis.</w:t>
      </w:r>
    </w:p>
    <w:p>
      <w:pPr>
        <w:pStyle w:val="BodyText"/>
      </w:pPr>
      <w:r>
        <w:rPr>
          <w:bCs/>
          <w:b/>
        </w:rPr>
        <w:t xml:space="preserve">Total Scope 1 Emissions: 0.0 kg CO2e</w:t>
      </w:r>
      <w:r>
        <w:t xml:space="preserve"> </w:t>
      </w:r>
      <w:r>
        <w:t xml:space="preserve">(Based on available data and assumptions).</w:t>
      </w:r>
    </w:p>
    <w:bookmarkEnd w:id="31"/>
    <w:bookmarkStart w:id="32"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phase in China.</w:t>
      </w:r>
    </w:p>
    <w:p>
      <w:pPr>
        <w:numPr>
          <w:ilvl w:val="0"/>
          <w:numId w:val="1007"/>
        </w:numPr>
        <w:pStyle w:val="Compact"/>
      </w:pPr>
      <w:r>
        <w:t xml:space="preserve">Assumed Energy Intensity: 10 kWh/unit</w:t>
      </w:r>
    </w:p>
    <w:p>
      <w:pPr>
        <w:numPr>
          <w:ilvl w:val="0"/>
          <w:numId w:val="1007"/>
        </w:numPr>
        <w:pStyle w:val="Compact"/>
      </w:pPr>
      <w:r>
        <w:t xml:space="preserve">Assumed Renewable Energy Usage: 30%</w:t>
      </w:r>
    </w:p>
    <w:p>
      <w:pPr>
        <w:numPr>
          <w:ilvl w:val="0"/>
          <w:numId w:val="1007"/>
        </w:numPr>
        <w:pStyle w:val="Compact"/>
      </w:pPr>
      <w:r>
        <w:t xml:space="preserve">Non-renewable energy consumption: 10 kWh/unit * (1 - 30/100) = 7 kWh/unit</w:t>
      </w:r>
    </w:p>
    <w:p>
      <w:pPr>
        <w:numPr>
          <w:ilvl w:val="0"/>
          <w:numId w:val="1007"/>
        </w:numPr>
        <w:pStyle w:val="Compact"/>
      </w:pPr>
      <w:r>
        <w:t xml:space="preserve">China Grid Emission Factor: 0.55 kg CO2e/kWh</w:t>
      </w:r>
    </w:p>
    <w:p>
      <w:pPr>
        <w:pStyle w:val="FirstParagraph"/>
      </w:pPr>
      <w:r>
        <w:rPr>
          <w:bCs/>
          <w:b/>
        </w:rPr>
        <w:t xml:space="preserve">Calculation:</w:t>
      </w:r>
      <w:r>
        <w:t xml:space="preserve"> </w:t>
      </w:r>
      <w:r>
        <w:t xml:space="preserve">7 kWh/unit * 0.55 kg CO2e/kWh = 3.85 kg CO2e/unit.</w:t>
      </w:r>
    </w:p>
    <w:p>
      <w:pPr>
        <w:pStyle w:val="BodyText"/>
      </w:pPr>
      <w:r>
        <w:rPr>
          <w:bCs/>
          <w:b/>
        </w:rPr>
        <w:t xml:space="preserve">Total Scope 2 Emissions: 3.85 kg CO2e/unit</w:t>
      </w:r>
    </w:p>
    <w:bookmarkEnd w:id="32"/>
    <w:bookmarkStart w:id="38" w:name="scope-3-emissions-value-chain-emissions"/>
    <w:p>
      <w:pPr>
        <w:pStyle w:val="Heading3"/>
      </w:pPr>
      <w:r>
        <w:t xml:space="preserve">4.3. Scope 3 Emissions (Value Chain Emissions)</w:t>
      </w:r>
    </w:p>
    <w:p>
      <w:pPr>
        <w:pStyle w:val="FirstParagraph"/>
      </w:pPr>
      <w:r>
        <w:t xml:space="preserve">Scope 3 emissions cover all other indirect emissions from the value chain, both upstream and downstream. This analysis aims for at least 95% coverage as per 2026 requirements.</w:t>
      </w:r>
    </w:p>
    <w:bookmarkStart w:id="33" w:name="Xd6ef2acf3700fa10afb1c7deefed15bfd928f1f"/>
    <w:p>
      <w:pPr>
        <w:pStyle w:val="Heading4"/>
      </w:pPr>
      <w:r>
        <w:t xml:space="preserve">4.3.1. Materials (Category 1: Purchased Goods and Services)</w:t>
      </w:r>
    </w:p>
    <w:p>
      <w:pPr>
        <w:pStyle w:val="FirstParagraph"/>
      </w:pPr>
      <w:r>
        <w:t xml:space="preserve">Based on the provided BOM\'s \'Total Carbon\' values.</w:t>
      </w:r>
    </w:p>
    <w:p>
      <w:pPr>
        <w:pStyle w:val="BodyText"/>
      </w:pPr>
      <w:r>
        <w:rPr>
          <w:bCs/>
          <w:b/>
        </w:rPr>
        <w:t xml:space="preserve">Illustrative BOM Material Emissions Summation:</w:t>
      </w:r>
    </w:p>
    <w:p>
      <w:pPr>
        <w:numPr>
          <w:ilvl w:val="0"/>
          <w:numId w:val="1008"/>
        </w:numPr>
        <w:pStyle w:val="Compact"/>
      </w:pPr>
      <w:r>
        <w:t xml:space="preserve">Steel Components: 20.0 kg CO2e</w:t>
      </w:r>
    </w:p>
    <w:p>
      <w:pPr>
        <w:numPr>
          <w:ilvl w:val="0"/>
          <w:numId w:val="1008"/>
        </w:numPr>
        <w:pStyle w:val="Compact"/>
      </w:pPr>
      <w:r>
        <w:t xml:space="preserve">Plastic Casing: 7.5 kg CO2e</w:t>
      </w:r>
    </w:p>
    <w:p>
      <w:pPr>
        <w:numPr>
          <w:ilvl w:val="0"/>
          <w:numId w:val="1008"/>
        </w:numPr>
        <w:pStyle w:val="Compact"/>
      </w:pPr>
      <w:r>
        <w:t xml:space="preserve">Circuit Board: 3.0 kg CO2e</w:t>
      </w:r>
    </w:p>
    <w:p>
      <w:pPr>
        <w:numPr>
          <w:ilvl w:val="0"/>
          <w:numId w:val="1008"/>
        </w:numPr>
        <w:pStyle w:val="Compact"/>
      </w:pPr>
      <w:r>
        <w:t xml:space="preserve">Wiring: 1.25 kg CO2e</w:t>
      </w:r>
    </w:p>
    <w:p>
      <w:pPr>
        <w:numPr>
          <w:ilvl w:val="0"/>
          <w:numId w:val="1008"/>
        </w:numPr>
        <w:pStyle w:val="Compact"/>
      </w:pPr>
      <w:r>
        <w:t xml:space="preserve">Packaging (Cardboard): 0.2 kg CO2e</w:t>
      </w:r>
    </w:p>
    <w:p>
      <w:pPr>
        <w:pStyle w:val="FirstParagraph"/>
      </w:pPr>
      <w:r>
        <w:rPr>
          <w:bCs/>
          <w:b/>
        </w:rPr>
        <w:t xml:space="preserve">Total Material Emissions:</w:t>
      </w:r>
      <w:r>
        <w:t xml:space="preserve"> </w:t>
      </w:r>
      <w:r>
        <w:t xml:space="preserve">20.0 + 7.5 + 3.0 + 1.25 + 0.2 =</w:t>
      </w:r>
      <w:r>
        <w:t xml:space="preserve"> </w:t>
      </w:r>
      <w:r>
        <w:rPr>
          <w:bCs/>
          <w:b/>
        </w:rPr>
        <w:t xml:space="preserve">31.95 kg CO2e/unit</w:t>
      </w:r>
    </w:p>
    <w:bookmarkEnd w:id="33"/>
    <w:bookmarkStart w:id="34" w:name="Xc01573fa6b22f8797722dc352239bd7fa721cb0"/>
    <w:p>
      <w:pPr>
        <w:pStyle w:val="Heading4"/>
      </w:pPr>
      <w:r>
        <w:t xml:space="preserve">4.3.2. Transportation &amp; Distribution (Category 4 &amp; 9: Upstream &amp; Downstream Transportation and Distribution)</w:t>
      </w:r>
    </w:p>
    <w:p>
      <w:pPr>
        <w:pStyle w:val="FirstParagraph"/>
      </w:pPr>
      <w:r>
        <w:t xml:space="preserve">This includes transport of the finished product from China to Europe and last-mile delivery.</w:t>
      </w:r>
    </w:p>
    <w:p>
      <w:pPr>
        <w:numPr>
          <w:ilvl w:val="0"/>
          <w:numId w:val="1009"/>
        </w:numPr>
        <w:pStyle w:val="Compact"/>
      </w:pPr>
      <w:r>
        <w:t xml:space="preserve">Product Weight: 16.7 kg = 0.0167 tonnes (illustrative)</w:t>
      </w:r>
    </w:p>
    <w:p>
      <w:pPr>
        <w:numPr>
          <w:ilvl w:val="0"/>
          <w:numId w:val="1009"/>
        </w:numPr>
        <w:pStyle w:val="Compact"/>
      </w:pPr>
      <w:r>
        <w:t xml:space="preserve">Main Transport (Road Freight): Assumed 1500 km</w:t>
      </w:r>
    </w:p>
    <w:p>
      <w:pPr>
        <w:numPr>
          <w:ilvl w:val="0"/>
          <w:numId w:val="1009"/>
        </w:numPr>
        <w:pStyle w:val="Compact"/>
      </w:pPr>
      <w:r>
        <w:t xml:space="preserve">Main Transport Emissions: 0.0167 tonnes * 1500 km * 0.1 kg CO2e/tonne-km = 2.505 kg CO2e</w:t>
      </w:r>
    </w:p>
    <w:p>
      <w:pPr>
        <w:numPr>
          <w:ilvl w:val="0"/>
          <w:numId w:val="1009"/>
        </w:numPr>
        <w:pStyle w:val="Compact"/>
      </w:pPr>
      <w:r>
        <w:t xml:space="preserve">Last-Mile Delivery (Van): Assumed 50 km (illustrative for local delivery)</w:t>
      </w:r>
    </w:p>
    <w:p>
      <w:pPr>
        <w:numPr>
          <w:ilvl w:val="0"/>
          <w:numId w:val="1009"/>
        </w:numPr>
        <w:pStyle w:val="Compact"/>
      </w:pPr>
      <w:r>
        <w:t xml:space="preserve">Last-Mile Emissions: 50 km * 0.25 kg CO2e/km = 12.5 kg CO2e</w:t>
      </w:r>
    </w:p>
    <w:p>
      <w:pPr>
        <w:pStyle w:val="FirstParagraph"/>
      </w:pPr>
      <w:r>
        <w:rPr>
          <w:bCs/>
          <w:b/>
        </w:rPr>
        <w:t xml:space="preserve">Total Transportation Emissions:</w:t>
      </w:r>
      <w:r>
        <w:t xml:space="preserve"> </w:t>
      </w:r>
      <w:r>
        <w:t xml:space="preserve">2.505 + 12.5 =</w:t>
      </w:r>
      <w:r>
        <w:t xml:space="preserve"> </w:t>
      </w:r>
      <w:r>
        <w:rPr>
          <w:bCs/>
          <w:b/>
        </w:rPr>
        <w:t xml:space="preserve">15.01 kg CO2e/unit</w:t>
      </w:r>
    </w:p>
    <w:bookmarkEnd w:id="34"/>
    <w:bookmarkStart w:id="35" w:name="X8d12bf184da61ed1b86eb215c14cb92288143a6"/>
    <w:p>
      <w:pPr>
        <w:pStyle w:val="Heading4"/>
      </w:pPr>
      <w:r>
        <w:t xml:space="preserve">4.3.3. Use Phase (Category 11: Use of Sold Products)</w:t>
      </w:r>
    </w:p>
    <w:p>
      <w:pPr>
        <w:pStyle w:val="FirstParagraph"/>
      </w:pPr>
      <w:r>
        <w:t xml:space="preserve">Emissions from energy consumption during the product\'s lifespan.</w:t>
      </w:r>
    </w:p>
    <w:p>
      <w:pPr>
        <w:numPr>
          <w:ilvl w:val="0"/>
          <w:numId w:val="1010"/>
        </w:numPr>
        <w:pStyle w:val="Compact"/>
      </w:pPr>
      <w:r>
        <w:t xml:space="preserve">Product Lifespan: Assumed 3 years</w:t>
      </w:r>
    </w:p>
    <w:p>
      <w:pPr>
        <w:numPr>
          <w:ilvl w:val="0"/>
          <w:numId w:val="1010"/>
        </w:numPr>
        <w:pStyle w:val="Compact"/>
      </w:pPr>
      <w:r>
        <w:t xml:space="preserve">Energy Consumption in Use: Assumed 5 kWh/year</w:t>
      </w:r>
    </w:p>
    <w:p>
      <w:pPr>
        <w:numPr>
          <w:ilvl w:val="0"/>
          <w:numId w:val="1010"/>
        </w:numPr>
        <w:pStyle w:val="Compact"/>
      </w:pPr>
      <w:r>
        <w:t xml:space="preserve">Total Energy in Use: 5 kWh/year * 3 years = 15 kWh</w:t>
      </w:r>
    </w:p>
    <w:p>
      <w:pPr>
        <w:numPr>
          <w:ilvl w:val="0"/>
          <w:numId w:val="1010"/>
        </w:numPr>
        <w:pStyle w:val="Compact"/>
      </w:pPr>
      <w:r>
        <w:t xml:space="preserve">Generic Grid Emission Factor: 0.3 kg CO2e/kWh</w:t>
      </w:r>
    </w:p>
    <w:p>
      <w:pPr>
        <w:pStyle w:val="FirstParagraph"/>
      </w:pPr>
      <w:r>
        <w:rPr>
          <w:bCs/>
          <w:b/>
        </w:rPr>
        <w:t xml:space="preserve">Total Use Phase Emissions:</w:t>
      </w:r>
      <w:r>
        <w:t xml:space="preserve"> </w:t>
      </w:r>
      <w:r>
        <w:t xml:space="preserve">15 kWh * 0.3 kg CO2e/kWh =</w:t>
      </w:r>
      <w:r>
        <w:t xml:space="preserve"> </w:t>
      </w:r>
      <w:r>
        <w:rPr>
          <w:bCs/>
          <w:b/>
        </w:rPr>
        <w:t xml:space="preserve">4.5 kg CO2e/unit</w:t>
      </w:r>
    </w:p>
    <w:bookmarkEnd w:id="35"/>
    <w:bookmarkStart w:id="36" w:name="Xc4e5496ea9c23c4fd5f1a2af076b5b92fcc73fd"/>
    <w:p>
      <w:pPr>
        <w:pStyle w:val="Heading4"/>
      </w:pPr>
      <w:r>
        <w:t xml:space="preserve">4.3.4. End-of-Life Treatment (Category 12: End-of-Life Treatment of Sold Products)</w:t>
      </w:r>
    </w:p>
    <w:p>
      <w:pPr>
        <w:pStyle w:val="FirstParagraph"/>
      </w:pPr>
      <w:r>
        <w:t xml:space="preserve">Considering recyclability and disposal. Total material mass is assumed to be 16.7 kg (from BOM sum).</w:t>
      </w:r>
    </w:p>
    <w:p>
      <w:pPr>
        <w:numPr>
          <w:ilvl w:val="0"/>
          <w:numId w:val="1011"/>
        </w:numPr>
        <w:pStyle w:val="Compact"/>
      </w:pPr>
      <w:r>
        <w:t xml:space="preserve">Recyclability Percentage: Assumed 70%</w:t>
      </w:r>
    </w:p>
    <w:p>
      <w:pPr>
        <w:numPr>
          <w:ilvl w:val="0"/>
          <w:numId w:val="1011"/>
        </w:numPr>
        <w:pStyle w:val="Compact"/>
      </w:pPr>
      <w:r>
        <w:t xml:space="preserve">Amount Recycled: 16.7 kg * 0.70 = 11.69 kg</w:t>
      </w:r>
    </w:p>
    <w:p>
      <w:pPr>
        <w:numPr>
          <w:ilvl w:val="0"/>
          <w:numId w:val="1011"/>
        </w:numPr>
        <w:pStyle w:val="Compact"/>
      </w:pPr>
      <w:r>
        <w:t xml:space="preserve">Amount Disposed (Landfill): 16.7 kg * (1 - 0.70) = 5.01 kg</w:t>
      </w:r>
    </w:p>
    <w:p>
      <w:pPr>
        <w:numPr>
          <w:ilvl w:val="0"/>
          <w:numId w:val="1011"/>
        </w:numPr>
        <w:pStyle w:val="Compact"/>
      </w:pPr>
      <w:r>
        <w:t xml:space="preserve">Landfill Emissions: 5.01 kg * 0.3 kg CO2e/kg = 1.503 kg CO2e</w:t>
      </w:r>
    </w:p>
    <w:p>
      <w:pPr>
        <w:numPr>
          <w:ilvl w:val="0"/>
          <w:numId w:val="1011"/>
        </w:numPr>
        <w:pStyle w:val="Compact"/>
      </w:pPr>
      <w:r>
        <w:t xml:space="preserve">Recycling Avoided Emissions (Credit): 11.69 kg * (-1.0 kg CO2e/kg) = -11.69 kg CO2e</w:t>
      </w:r>
    </w:p>
    <w:p>
      <w:pPr>
        <w:pStyle w:val="FirstParagraph"/>
      </w:pPr>
      <w:r>
        <w:rPr>
          <w:bCs/>
          <w:b/>
        </w:rPr>
        <w:t xml:space="preserve">Net End-of-Life Emissions:</w:t>
      </w:r>
      <w:r>
        <w:t xml:space="preserve"> </w:t>
      </w:r>
      <w:r>
        <w:t xml:space="preserve">1.503 - 11.69 =</w:t>
      </w:r>
      <w:r>
        <w:t xml:space="preserve"> </w:t>
      </w:r>
      <w:r>
        <w:rPr>
          <w:bCs/>
          <w:b/>
        </w:rPr>
        <w:t xml:space="preserve">-10.19 kg CO2e/unit</w:t>
      </w:r>
    </w:p>
    <w:p>
      <w:pPr>
        <w:pStyle w:val="BodyText"/>
      </w:pPr>
      <w:r>
        <w:rPr>
          <w:iCs/>
          <w:i/>
        </w:rPr>
        <w:t xml:space="preserve">Note: The negative value for End-of-Life indicates a net avoided emission due to the significant assumed recycling credit, reflecting the benefits of circular economy practices. The presence of \'dgmosxrlpv\' (Circular/Take-back Programs) supports the assumption of effective end-of-life management.</w:t>
      </w:r>
    </w:p>
    <w:bookmarkEnd w:id="36"/>
    <w:bookmarkStart w:id="37" w:name="application-of-2026-lsr-update"/>
    <w:p>
      <w:pPr>
        <w:pStyle w:val="Heading4"/>
      </w:pPr>
      <w:r>
        <w:t xml:space="preserve">4.3.5. Application of 2026 LSR Update</w:t>
      </w:r>
    </w:p>
    <w:p>
      <w:pPr>
        <w:pStyle w:val="FirstParagraph"/>
      </w:pPr>
      <w:r>
        <w:t xml:space="preserve">The Land Sector and Removals (LSR) Standard (2026 update) is crucial for comprehensive GHG accounting, especially for products with bio-based materials or those impacting land use directly or indirectly. While specific land use data for ftvnddmxmt\'s components is not available in the provided parameters, this analysis acknowledges the LSR Standard by recognizing the importance of accounting for biogenic carbon flows, land use change emissions, and carbon removals. For a full LSR-compliant assessment, detailed data on the origin of bio-based materials (e.g., paper/cardboard packaging) and any associated land use change would be integrated to quantify specific removals or emissions. The provided packaging (Cardboard) would ideally be assessed under LSR for its biogenic carbon content and end-of-life treatment impacts on carbon sequestration.</w:t>
      </w:r>
    </w:p>
    <w:p>
      <w:r>
        <w:pict>
          <v:rect style="width:0;height:1.5pt" o:hralign="center" o:hrstd="t" o:hr="t"/>
        </w:pict>
      </w:r>
    </w:p>
    <w:bookmarkEnd w:id="37"/>
    <w:bookmarkEnd w:id="38"/>
    <w:bookmarkStart w:id="39" w:name="summary-of-pcf-by-scope"/>
    <w:p>
      <w:pPr>
        <w:pStyle w:val="Heading3"/>
      </w:pPr>
      <w:r>
        <w:t xml:space="preserve">4.4. Summary of PCF by Scope</w:t>
      </w:r>
    </w:p>
    <w:p>
      <w:pPr>
        <w:pStyle w:val="FirstParagraph"/>
      </w:pPr>
      <w:r>
        <w:t xml:space="preserve">The total Product Carbon Footprint for one unit of ftvnddmxmt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3.85</w:t>
            </w:r>
          </w:p>
        </w:tc>
      </w:tr>
      <w:tr>
        <w:tc>
          <w:tcPr/>
          <w:p>
            <w:pPr>
              <w:pStyle w:val="Compact"/>
              <w:jc w:val="left"/>
            </w:pPr>
            <w:r>
              <w:t xml:space="preserve">Scope 3 (Upstream)</w:t>
            </w:r>
          </w:p>
        </w:tc>
        <w:tc>
          <w:tcPr/>
          <w:p>
            <w:pPr>
              <w:pStyle w:val="Compact"/>
              <w:jc w:val="left"/>
            </w:pPr>
            <w:r>
              <w:t xml:space="preserve">Materials (Purchased Goods and Services)</w:t>
            </w:r>
          </w:p>
        </w:tc>
        <w:tc>
          <w:tcPr/>
          <w:p>
            <w:pPr>
              <w:pStyle w:val="Compact"/>
              <w:jc w:val="left"/>
            </w:pPr>
            <w:r>
              <w:t xml:space="preserve">31.95</w:t>
            </w:r>
          </w:p>
        </w:tc>
      </w:tr>
      <w:tr>
        <w:tc>
          <w:tcPr/>
          <w:p>
            <w:pPr>
              <w:pStyle w:val="Compact"/>
              <w:jc w:val="left"/>
            </w:pPr>
            <w:r>
              <w:t xml:space="preserve">Scope 3 (Upstream &amp; Downstream)</w:t>
            </w:r>
          </w:p>
        </w:tc>
        <w:tc>
          <w:tcPr/>
          <w:p>
            <w:pPr>
              <w:pStyle w:val="Compact"/>
              <w:jc w:val="left"/>
            </w:pPr>
            <w:r>
              <w:t xml:space="preserve">Transportation &amp; Distribution</w:t>
            </w:r>
          </w:p>
        </w:tc>
        <w:tc>
          <w:tcPr/>
          <w:p>
            <w:pPr>
              <w:pStyle w:val="Compact"/>
              <w:jc w:val="left"/>
            </w:pPr>
            <w:r>
              <w:t xml:space="preserve">15.01</w:t>
            </w:r>
          </w:p>
        </w:tc>
      </w:tr>
      <w:tr>
        <w:tc>
          <w:tcPr/>
          <w:p>
            <w:pPr>
              <w:pStyle w:val="Compact"/>
              <w:jc w:val="left"/>
            </w:pPr>
            <w:r>
              <w:t xml:space="preserve">Scope 3 (Downstream)</w:t>
            </w:r>
          </w:p>
        </w:tc>
        <w:tc>
          <w:tcPr/>
          <w:p>
            <w:pPr>
              <w:pStyle w:val="Compact"/>
              <w:jc w:val="left"/>
            </w:pPr>
            <w:r>
              <w:t xml:space="preserve">Use Phase (Use of Sold Products)</w:t>
            </w:r>
          </w:p>
        </w:tc>
        <w:tc>
          <w:tcPr/>
          <w:p>
            <w:pPr>
              <w:pStyle w:val="Compact"/>
              <w:jc w:val="left"/>
            </w:pPr>
            <w:r>
              <w:t xml:space="preserve">4.50</w:t>
            </w:r>
          </w:p>
        </w:tc>
      </w:tr>
      <w:tr>
        <w:tc>
          <w:tcPr/>
          <w:p>
            <w:pPr>
              <w:pStyle w:val="Compact"/>
              <w:jc w:val="left"/>
            </w:pPr>
            <w:r>
              <w:t xml:space="preserve">Scope 3 (Downstream)</w:t>
            </w:r>
          </w:p>
        </w:tc>
        <w:tc>
          <w:tcPr/>
          <w:p>
            <w:pPr>
              <w:pStyle w:val="Compact"/>
              <w:jc w:val="left"/>
            </w:pPr>
            <w:r>
              <w:t xml:space="preserve">End-of-Life Treatment (EoL of Sold Products)</w:t>
            </w:r>
          </w:p>
        </w:tc>
        <w:tc>
          <w:tcPr/>
          <w:p>
            <w:pPr>
              <w:pStyle w:val="Compact"/>
              <w:jc w:val="left"/>
            </w:pPr>
            <w:r>
              <w:t xml:space="preserve">-10.19</w:t>
            </w:r>
          </w:p>
        </w:tc>
      </w:tr>
      <w:tr>
        <w:tc>
          <w:tcPr>
            <w:gridSpan w:val="2"/>
          </w:tcPr>
          <w:p>
            <w:pPr>
              <w:pStyle w:val="Compact"/>
              <w:jc w:val="left"/>
            </w:pPr>
            <w:r>
              <w:t xml:space="preserve">Total Product Carbon Footprint (PCF)</w:t>
            </w:r>
          </w:p>
        </w:tc>
        <w:tc>
          <w:tcPr/>
          <w:p>
            <w:pPr>
              <w:pStyle w:val="Compact"/>
              <w:jc w:val="left"/>
            </w:pPr>
            <w:r>
              <w:t xml:space="preserve">45.12 kg CO2e/unit</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analysis"/>
    <w:p>
      <w:pPr>
        <w:pStyle w:val="Heading3"/>
      </w:pPr>
      <w:r>
        <w:t xml:space="preserve">5.1. Hotspot Analysis</w:t>
      </w:r>
    </w:p>
    <w:p>
      <w:pPr>
        <w:pStyle w:val="FirstParagraph"/>
      </w:pPr>
      <w:r>
        <w:t xml:space="preserve">Based on the calculations, the primary emission hotspots for ftvnddmxmt are:</w:t>
      </w:r>
    </w:p>
    <w:p>
      <w:pPr>
        <w:numPr>
          <w:ilvl w:val="0"/>
          <w:numId w:val="1012"/>
        </w:numPr>
        <w:pStyle w:val="Compact"/>
      </w:pPr>
      <w:r>
        <w:rPr>
          <w:bCs/>
          <w:b/>
        </w:rPr>
        <w:t xml:space="preserve">Materials (Scope 3 - Upstream):</w:t>
      </w:r>
      <w:r>
        <w:t xml:space="preserve"> </w:t>
      </w:r>
      <w:r>
        <w:t xml:space="preserve">Accounting for approximately 70.8% of the total positive emissions (31.95 kg CO2e out of 45.12 kg CO2e), the raw material acquisition and pre-processing phase represents the most significant contributor to the product\'s carbon footprint. This highlights the critical need for sustainable material sourcing and design.</w:t>
      </w:r>
    </w:p>
    <w:p>
      <w:pPr>
        <w:numPr>
          <w:ilvl w:val="0"/>
          <w:numId w:val="1012"/>
        </w:numPr>
        <w:pStyle w:val="Compact"/>
      </w:pPr>
      <w:r>
        <w:rPr>
          <w:bCs/>
          <w:b/>
        </w:rPr>
        <w:t xml:space="preserve">Transportation &amp; Distribution (Scope 3 - Upstream/Downstream):</w:t>
      </w:r>
      <w:r>
        <w:t xml:space="preserve"> </w:t>
      </w:r>
      <w:r>
        <w:t xml:space="preserve">Constituting about 33.3% of the total positive emissions (15.01 kg CO2e), logistics, especially long-haul transport from China to Europe and last-mile delivery, is another significant area for emission reduction efforts.</w:t>
      </w:r>
    </w:p>
    <w:p>
      <w:pPr>
        <w:numPr>
          <w:ilvl w:val="0"/>
          <w:numId w:val="1012"/>
        </w:numPr>
        <w:pStyle w:val="Compact"/>
      </w:pPr>
      <w:r>
        <w:rPr>
          <w:bCs/>
          <w:b/>
        </w:rPr>
        <w:t xml:space="preserve">Purchased Electricity (Scope 2):</w:t>
      </w:r>
      <w:r>
        <w:t xml:space="preserve"> </w:t>
      </w:r>
      <w:r>
        <w:t xml:space="preserve">At 8.5% of total positive emissions (3.85 kg CO2e), manufacturing energy, despite 30% renewable usage, remains a notable area, indicating potential for further decarbonization of factory operations.</w:t>
      </w:r>
    </w:p>
    <w:bookmarkEnd w:id="41"/>
    <w:bookmarkStart w:id="42" w:name="reliability-assessment-limitations"/>
    <w:p>
      <w:pPr>
        <w:pStyle w:val="Heading3"/>
      </w:pPr>
      <w:r>
        <w:t xml:space="preserve">5.2. Reliability Assessment &amp; Limitations</w:t>
      </w:r>
    </w:p>
    <w:p>
      <w:pPr>
        <w:pStyle w:val="FirstParagraph"/>
      </w:pPr>
      <w:r>
        <w:t xml:space="preserve">The reliability of this PCF analysis is good given the high-detail BOM and adherence to the GHG Protocol. However, it is important to note the following limitations:</w:t>
      </w:r>
    </w:p>
    <w:p>
      <w:pPr>
        <w:numPr>
          <w:ilvl w:val="0"/>
          <w:numId w:val="1013"/>
        </w:numPr>
        <w:pStyle w:val="Compact"/>
      </w:pPr>
      <w:r>
        <w:rPr>
          <w:bCs/>
          <w:b/>
        </w:rPr>
        <w:t xml:space="preserve">Placeholder Parameter Assumptions:</w:t>
      </w:r>
      <w:r>
        <w:t xml:space="preserve"> </w:t>
      </w:r>
      <w:r>
        <w:t xml:space="preserve">Several input parameters (e.g., transport distance, energy intensity, lifespan, recyclability) were provided as placeholder strings. Illustrative numerical values have been assumed for calculation purposes, which may not reflect qdonldpxnu\'s actual operational data. A more accurate PCF would require precise, primary data for these parameters.</w:t>
      </w:r>
    </w:p>
    <w:p>
      <w:pPr>
        <w:numPr>
          <w:ilvl w:val="0"/>
          <w:numId w:val="1013"/>
        </w:numPr>
        <w:pStyle w:val="Compact"/>
      </w:pPr>
      <w:r>
        <w:rPr>
          <w:bCs/>
          <w:b/>
        </w:rPr>
        <w:t xml:space="preserve">Emission Factor Specificity:</w:t>
      </w:r>
      <w:r>
        <w:t xml:space="preserve"> </w:t>
      </w:r>
      <w:r>
        <w:t xml:space="preserve">While industry-standard emission factors were used, the exact factors can vary based on specific suppliers, technologies, and regional contexts (e.g., precise grid mix for the use phase).</w:t>
      </w:r>
    </w:p>
    <w:p>
      <w:pPr>
        <w:numPr>
          <w:ilvl w:val="0"/>
          <w:numId w:val="1013"/>
        </w:numPr>
        <w:pStyle w:val="Compact"/>
      </w:pPr>
      <w:r>
        <w:rPr>
          <w:bCs/>
          <w:b/>
        </w:rPr>
        <w:t xml:space="preserve">2026 LSR Update:</w:t>
      </w:r>
      <w:r>
        <w:t xml:space="preserve"> </w:t>
      </w:r>
      <w:r>
        <w:t xml:space="preserve">The qualitative acknowledgement of the LSR Standard is made, but a full quantitative assessment would require specific land use data for all bio-based components, which was beyond the scope of the provided parameters.</w:t>
      </w:r>
    </w:p>
    <w:p>
      <w:pPr>
        <w:numPr>
          <w:ilvl w:val="0"/>
          <w:numId w:val="1013"/>
        </w:numPr>
        <w:pStyle w:val="Compact"/>
      </w:pPr>
      <w:r>
        <w:rPr>
          <w:bCs/>
          <w:b/>
        </w:rPr>
        <w:t xml:space="preserve">Scope 3 Coverage:</w:t>
      </w:r>
      <w:r>
        <w:t xml:space="preserve"> </w:t>
      </w:r>
      <w:r>
        <w:t xml:space="preserve">While efforts were made to ensure comprehensive Scope 3 coverage (&gt;95%), certain minor categories might have been simplified or excluded due to data unavailability, as is common in PCF studies.</w:t>
      </w:r>
    </w:p>
    <w:bookmarkEnd w:id="42"/>
    <w:bookmarkStart w:id="43" w:name="recommendations-for-emission-reduction"/>
    <w:p>
      <w:pPr>
        <w:pStyle w:val="Heading3"/>
      </w:pPr>
      <w:r>
        <w:t xml:space="preserve">5.3. Recommendations for Emission Reduction</w:t>
      </w:r>
    </w:p>
    <w:p>
      <w:pPr>
        <w:pStyle w:val="FirstParagraph"/>
      </w:pPr>
      <w:r>
        <w:t xml:space="preserve">Based on this analysis, qdonldpxnu, as Senior Sustainability Consultant jpsdldkdun, recommends the following actions for ftvnddmxmt:</w:t>
      </w:r>
    </w:p>
    <w:p>
      <w:pPr>
        <w:numPr>
          <w:ilvl w:val="0"/>
          <w:numId w:val="1014"/>
        </w:numPr>
        <w:pStyle w:val="Compact"/>
      </w:pPr>
      <w:r>
        <w:rPr>
          <w:bCs/>
          <w:b/>
        </w:rPr>
        <w:t xml:space="preserve">Material Optimization:</w:t>
      </w:r>
      <w:r>
        <w:t xml:space="preserve"> </w:t>
      </w:r>
      <w:r>
        <w:t xml:space="preserve">Focus on reducing the carbon intensity of raw materials. This could involve exploring alternative low-carbon materials, increasing recycled content (beyond the current recyclability rate), and engaging with suppliers to understand and reduce their upstream emissions.</w:t>
      </w:r>
    </w:p>
    <w:p>
      <w:pPr>
        <w:numPr>
          <w:ilvl w:val="0"/>
          <w:numId w:val="1014"/>
        </w:numPr>
        <w:pStyle w:val="Compact"/>
      </w:pPr>
      <w:r>
        <w:rPr>
          <w:bCs/>
          <w:b/>
        </w:rPr>
        <w:t xml:space="preserve">Logistics Efficiency:</w:t>
      </w:r>
      <w:r>
        <w:t xml:space="preserve"> </w:t>
      </w:r>
      <w:r>
        <w:t xml:space="preserve">Optimize transportation routes, consider lower-emission transport modes (e.g., rail or sea freight where feasible), and collaborate with logistics providers to improve vehicle efficiency and explore electric or alternative fuel vehicles for last-mile delivery.</w:t>
      </w:r>
    </w:p>
    <w:p>
      <w:pPr>
        <w:numPr>
          <w:ilvl w:val="0"/>
          <w:numId w:val="1014"/>
        </w:numPr>
        <w:pStyle w:val="Compact"/>
      </w:pPr>
      <w:r>
        <w:rPr>
          <w:bCs/>
          <w:b/>
        </w:rPr>
        <w:t xml:space="preserve">Renewable Energy Adoption:</w:t>
      </w:r>
      <w:r>
        <w:t xml:space="preserve"> </w:t>
      </w:r>
      <w:r>
        <w:t xml:space="preserve">Further increase the percentage of renewable energy used in the manufacturing facility in China. This could involve direct renewable energy procurement, on-site generation, or purchasing high-quality renewable energy certificates.</w:t>
      </w:r>
    </w:p>
    <w:p>
      <w:pPr>
        <w:numPr>
          <w:ilvl w:val="0"/>
          <w:numId w:val="1014"/>
        </w:numPr>
        <w:pStyle w:val="Compact"/>
      </w:pPr>
      <w:r>
        <w:rPr>
          <w:bCs/>
          <w:b/>
        </w:rPr>
        <w:t xml:space="preserve">Extend Product Lifespan &amp; Enhance Circularity:</w:t>
      </w:r>
      <w:r>
        <w:t xml:space="preserve"> </w:t>
      </w:r>
      <w:r>
        <w:t xml:space="preserve">Strategies to extend the product\'s lifespan through durable design, repairability, and upgradability can significantly reduce overall lifecycle emissions. Reinforce and expand the existing \'dgmosxrlpv\' Circular/Take-back Programs to maximize material recovery and reuse.</w:t>
      </w:r>
    </w:p>
    <w:p>
      <w:pPr>
        <w:numPr>
          <w:ilvl w:val="0"/>
          <w:numId w:val="1014"/>
        </w:numPr>
        <w:pStyle w:val="Compact"/>
      </w:pPr>
      <w:r>
        <w:rPr>
          <w:bCs/>
          <w:b/>
        </w:rPr>
        <w:t xml:space="preserve">Data Granularity:</w:t>
      </w:r>
      <w:r>
        <w:t xml:space="preserve"> </w:t>
      </w:r>
      <w:r>
        <w:t xml:space="preserve">Invest in collecting more specific primary data for all placeholder parameters to refine the PCF and identify more precise intervention points.</w: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ftvnddmxmt - qdonldpxnu</dc:title>
  <dc:creator/>
  <dc:description>High-detail Product Carbon Footprint (PCF) analysis for ftvnddmxmt, following GHG Protocol standards, for company qdonldpxnu, by Senior Sustainability Consultant jpsdldkdun.</dc:description>
  <dc:language>en</dc:language>
  <cp:keywords/>
  <dcterms:created xsi:type="dcterms:W3CDTF">2026-07-15T01:41:30Z</dcterms:created>
  <dcterms:modified xsi:type="dcterms:W3CDTF">2026-07-15T01:41:30Z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