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ftpddqfixq</w:t>
      </w:r>
      <w:r>
        <w:t xml:space="preserve"> </w:t>
      </w:r>
      <w:r>
        <w:t xml:space="preserve">(Smart</w:t>
      </w:r>
      <w:r>
        <w:t xml:space="preserve"> </w:t>
      </w:r>
      <w:r>
        <w:t xml:space="preserve">Home</w:t>
      </w:r>
      <w:r>
        <w:t xml:space="preserve"> </w:t>
      </w:r>
      <w:r>
        <w:t xml:space="preserve">Device)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ftpddqfixq (Smart Home Device)</w:t>
      </w:r>
    </w:p>
    <w:p>
      <w:pPr>
        <w:pStyle w:val="BodyText"/>
      </w:pPr>
      <w:r>
        <w:rPr>
          <w:bCs/>
          <w:b/>
        </w:rPr>
        <w:t xml:space="preserve">Company Name:</w:t>
      </w:r>
      <w:r>
        <w:t xml:space="preserve"> </w:t>
      </w:r>
      <w:r>
        <w:t xml:space="preserve">fyjtdnpdpn (Tech Innovations Inc.)</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kpmorjyehx (K. P. Morjyehx)</w:t>
      </w:r>
    </w:p>
    <w:p>
      <w:pPr>
        <w:pStyle w:val="BodyText"/>
      </w:pPr>
      <w:r>
        <w:t xml:space="preserve">This report is generated based on available data and industry standards. While efforts have been made to ensure accuracy and comprehensive coverage, specific values for placeholder parameters have been assumed for illustrative calculation purposes where explicit numerical data was not provided.</w:t>
      </w:r>
    </w:p>
    <w:bookmarkEnd w:id="20"/>
    <w:bookmarkStart w:id="21" w:name="product-carbon-footprint-analysis"/>
    <w:p>
      <w:pPr>
        <w:pStyle w:val="Heading1"/>
      </w:pPr>
      <w:r>
        <w:t xml:space="preserve">Product Carbon Footprint Analysis</w:t>
      </w:r>
    </w:p>
    <w:p>
      <w:pPr>
        <w:pStyle w:val="FirstParagraph"/>
      </w:pPr>
      <w:r>
        <w:t xml:space="preserve">Product: ftpddqfixq (Smart Home Device)</w:t>
      </w:r>
    </w:p>
    <w:p>
      <w:pPr>
        <w:pStyle w:val="BodyText"/>
      </w:pPr>
      <w:r>
        <w:t xml:space="preserve">Generated Date: May 25, 2026</w:t>
      </w:r>
    </w:p>
    <w:p>
      <w:pPr>
        <w:pStyle w:val="BodyText"/>
      </w:pPr>
      <w:r>
        <w:t xml:space="preserve">Consultant: kpmorjyehx,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high-detail Product Carbon Footprint (PCF) analysis evaluates the greenhouse gas (GHG) emissions associated with the lifecycle of the</w:t>
      </w:r>
      <w:r>
        <w:t xml:space="preserve"> </w:t>
      </w:r>
      <w:r>
        <w:rPr>
          <w:bCs/>
          <w:b/>
        </w:rPr>
        <w:t xml:space="preserve">ftpddqfixq (Smart Home Device)</w:t>
      </w:r>
      <w:r>
        <w:t xml:space="preserve"> </w:t>
      </w:r>
      <w:r>
        <w:t xml:space="preserve">manufactured by</w:t>
      </w:r>
      <w:r>
        <w:t xml:space="preserve"> </w:t>
      </w:r>
      <w:r>
        <w:rPr>
          <w:bCs/>
          <w:b/>
        </w:rPr>
        <w:t xml:space="preserve">fyjtdnpdpn (Tech Innovations Inc.)</w:t>
      </w:r>
      <w:r>
        <w:t xml:space="preserve">. Adhering to the GHG Protocol standards, this report provides a comprehensive breakdown of emissions across material acquisition, manufacturing, transport, use, and end-of-life phases. The total carbon footprint for one functional unit of the ftpddqfixq is calculated to be</w:t>
      </w:r>
      <w:r>
        <w:t xml:space="preserve"> </w:t>
      </w:r>
      <w:r>
        <w:rPr>
          <w:bCs/>
          <w:b/>
        </w:rPr>
        <w:t xml:space="preserve">21.22 kgCO2e</w:t>
      </w:r>
      <w:r>
        <w:t xml:space="preserve">. The analysis identifies the use phase and material acquisition as primary hotspots for emissions, while acknowledging the benefits of established circular economy initiatives. This report also incorporates considerations for the forthcoming 2026 GHG Protocol Land Sector and Removals (LSR) Standard.</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This section outlines the foundational parameters for the Product Carbon Footprint analysis of the ftpddqfixq (Smart Home Device).</w:t>
      </w:r>
    </w:p>
    <w:bookmarkStart w:id="23" w:name="functional-unit"/>
    <w:p>
      <w:pPr>
        <w:pStyle w:val="Heading3"/>
      </w:pPr>
      <w:r>
        <w:t xml:space="preserve">1.1. Functional Unit</w:t>
      </w:r>
    </w:p>
    <w:p>
      <w:pPr>
        <w:numPr>
          <w:ilvl w:val="0"/>
          <w:numId w:val="1001"/>
        </w:numPr>
        <w:pStyle w:val="Compact"/>
      </w:pPr>
      <w:r>
        <w:rPr>
          <w:bCs/>
          <w:b/>
        </w:rPr>
        <w:t xml:space="preserve">Definition:</w:t>
      </w:r>
      <w:r>
        <w:t xml:space="preserve"> </w:t>
      </w:r>
      <w:r>
        <w:t xml:space="preserve">1.0 unit of ftpddqfixq (Smart Home Device).</w:t>
      </w:r>
    </w:p>
    <w:p>
      <w:pPr>
        <w:numPr>
          <w:ilvl w:val="0"/>
          <w:numId w:val="1001"/>
        </w:numPr>
        <w:pStyle w:val="Compact"/>
      </w:pPr>
      <w:r>
        <w:rPr>
          <w:bCs/>
          <w:b/>
        </w:rPr>
        <w:t xml:space="preserve">Purpose:</w:t>
      </w:r>
      <w:r>
        <w:t xml:space="preserve"> </w:t>
      </w:r>
      <w:r>
        <w:t xml:space="preserve">To serve as a quantifiable reference for all inputs and outputs throughout the product\'s lifecycle.</w:t>
      </w:r>
    </w:p>
    <w:bookmarkEnd w:id="23"/>
    <w:bookmarkStart w:id="24" w:name="system-boundary"/>
    <w:p>
      <w:pPr>
        <w:pStyle w:val="Heading3"/>
      </w:pPr>
      <w:r>
        <w:t xml:space="preserve">1.2. System Boundary</w:t>
      </w:r>
    </w:p>
    <w:p>
      <w:pPr>
        <w:numPr>
          <w:ilvl w:val="0"/>
          <w:numId w:val="1002"/>
        </w:numPr>
        <w:pStyle w:val="Compact"/>
      </w:pPr>
      <w:r>
        <w:rPr>
          <w:bCs/>
          <w:b/>
        </w:rPr>
        <w:t xml:space="preserve">Scope:</w:t>
      </w:r>
      <w:r>
        <w:t xml:space="preserve"> </w:t>
      </w:r>
      <w:r>
        <w:t xml:space="preserve">factory_gate (Cradle-to-Gate + Use Phase + End-of-Life). This includes raw material extraction, processing, manufacturing, transport to the customer, product use, and end-of-life treatment.</w:t>
      </w:r>
    </w:p>
    <w:p>
      <w:pPr>
        <w:numPr>
          <w:ilvl w:val="0"/>
          <w:numId w:val="1002"/>
        </w:numPr>
        <w:pStyle w:val="Compact"/>
      </w:pPr>
      <w:r>
        <w:rPr>
          <w:bCs/>
          <w:b/>
        </w:rPr>
        <w:t xml:space="preserve">Exclusions:</w:t>
      </w:r>
      <w:r>
        <w:t xml:space="preserve"> </w:t>
      </w:r>
      <w:r>
        <w:t xml:space="preserve">Capital goods, infrastructure, and employee commuting are excluded from this PCF, consistent with typical product-level assessments unless specifically required.</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and downstream distribution/use are primarily linked to Europe, with manufacturing in China).</w:t>
      </w:r>
    </w:p>
    <w:bookmarkEnd w:id="25"/>
    <w:bookmarkStart w:id="26" w:name="accounting-standard"/>
    <w:p>
      <w:pPr>
        <w:pStyle w:val="Heading3"/>
      </w:pPr>
      <w:r>
        <w:t xml:space="preserve">1.4. Accounting Standard</w:t>
      </w:r>
    </w:p>
    <w:p>
      <w:pPr>
        <w:numPr>
          <w:ilvl w:val="0"/>
          <w:numId w:val="1004"/>
        </w:numPr>
        <w:pStyle w:val="Compact"/>
      </w:pPr>
      <w:r>
        <w:rPr>
          <w:bCs/>
          <w:b/>
        </w:rPr>
        <w:t xml:space="preserve">Standard:</w:t>
      </w:r>
      <w:r>
        <w:t xml:space="preserve"> </w:t>
      </w:r>
      <w:r>
        <w:t xml:space="preserve">GHG Protocol Product Standard (A Corporate Accounting and Reporting Standard &amp; Corporate Value Chain (Scope 3) Accounting and Reporting Standard).</w:t>
      </w:r>
    </w:p>
    <w:p>
      <w:pPr>
        <w:numPr>
          <w:ilvl w:val="0"/>
          <w:numId w:val="1004"/>
        </w:numPr>
        <w:pStyle w:val="Compact"/>
      </w:pPr>
      <w:r>
        <w:rPr>
          <w:bCs/>
          <w:b/>
        </w:rPr>
        <w:t xml:space="preserve">GHG Categories:</w:t>
      </w:r>
      <w:r>
        <w:t xml:space="preserve"> </w:t>
      </w:r>
      <w:r>
        <w:t xml:space="preserve">Emissions are categorized into Scope 1 (direct emissions), Scope 2 (indirect emissions from purchased energy), and Scope 3 (other indirect emissions across the value chain).</w:t>
      </w:r>
    </w:p>
    <w:p>
      <w:pPr>
        <w:numPr>
          <w:ilvl w:val="0"/>
          <w:numId w:val="1004"/>
        </w:numPr>
        <w:pStyle w:val="Compact"/>
      </w:pPr>
      <w:r>
        <w:rPr>
          <w:bCs/>
          <w:b/>
        </w:rPr>
        <w:t xml:space="preserve">2026 LSR Update:</w:t>
      </w:r>
      <w:r>
        <w:t xml:space="preserve"> </w:t>
      </w:r>
      <w:r>
        <w:t xml:space="preserve">The Land Sector and Removals (LSR) Standard, effective January 1, 2027, is acknowledged. This standard provides accounting requirements for land emissions, CO₂ removals, and biogenic products. While direct land-use change impacts are not a primary driver for a smart home device, fyjtdnpdpn is committed to integrating LSR principles for relevant upstream materials or processes in future assessments, particularly as detailed guidance becomes available in Q2 2026.</w:t>
      </w:r>
    </w:p>
    <w:p>
      <w:pPr>
        <w:numPr>
          <w:ilvl w:val="0"/>
          <w:numId w:val="1004"/>
        </w:numPr>
        <w:pStyle w:val="Compact"/>
      </w:pPr>
      <w:r>
        <w:rPr>
          <w:bCs/>
          <w:b/>
        </w:rPr>
        <w:t xml:space="preserve">Scope 3 Compliance:</w:t>
      </w:r>
      <w:r>
        <w:t xml:space="preserve"> </w:t>
      </w:r>
      <w:r>
        <w:t xml:space="preserve">This analysis aims for at least 95% coverage for Scope 3 reporting, in line with 2026 requirements, recognizing the significant portion Scope 3 often represents (70-90% for many companies).</w:t>
      </w:r>
    </w:p>
    <w:bookmarkEnd w:id="26"/>
    <w:bookmarkStart w:id="27" w:name="allocation"/>
    <w:p>
      <w:pPr>
        <w:pStyle w:val="Heading3"/>
      </w:pPr>
      <w:r>
        <w:t xml:space="preserve">1.5. Allocation</w:t>
      </w:r>
    </w:p>
    <w:p>
      <w:pPr>
        <w:pStyle w:val="FirstParagraph"/>
      </w:pPr>
      <w:r>
        <w:t xml:space="preserve">Emissions are allocated directly to the ftpddqfixq unit. Where shared processes occur (e.g., shared transport), emissions are allocated based on mass, distance, or economic value as appropriate, adhering to GHG Protocol guidelines.</w:t>
      </w:r>
    </w:p>
    <w:p>
      <w:r>
        <w:pict>
          <v:rect style="width:0;height:1.5pt" o:hralign="center" o:hrstd="t" o:hr="t"/>
        </w:pict>
      </w:r>
    </w:p>
    <w:bookmarkEnd w:id="27"/>
    <w:bookmarkEnd w:id="28"/>
    <w:bookmarkStart w:id="34" w:name="X668a29dea6996859d52024a913312988ccfa3c9"/>
    <w:p>
      <w:pPr>
        <w:pStyle w:val="Heading2"/>
      </w:pPr>
      <w:r>
        <w:t xml:space="preserve">2. Map Lifecycle (LCI Inventory Stages) &amp; 3. Collect Data</w:t>
      </w:r>
    </w:p>
    <w:p>
      <w:pPr>
        <w:pStyle w:val="FirstParagraph"/>
      </w:pPr>
      <w:r>
        <w:t xml:space="preserve">This section details the inputs and processes across the lifecycle of ftpddqfixq, outlining the data collected and assumptions made for calculation.</w:t>
      </w:r>
    </w:p>
    <w:bookmarkStart w:id="29" w:name="X54579446098793e549b488e182affa959542a7c"/>
    <w:p>
      <w:pPr>
        <w:pStyle w:val="Heading3"/>
      </w:pPr>
      <w:r>
        <w:t xml:space="preserve">3.1. Material Acquisition &amp; Pre-processing (Upstream - Scope 3, Category 1: Purchased Goods and Services)</w:t>
      </w:r>
    </w:p>
    <w:p>
      <w:pPr>
        <w:pStyle w:val="FirstParagraph"/>
      </w:pPr>
      <w:r>
        <w:t xml:space="preserve">The Detailed Bill of Materials (BOM) for ftpddqfixq (mgeoypex) is used to calculate the material impact. The provided \'Total Carbon\' values in the BOM reflect the emissions associated with the extraction, processing, and production of these materials, incorporating specific emission factors.</w:t>
      </w:r>
    </w:p>
    <w:p>
      <w:pPr>
        <w:pStyle w:val="BodyText"/>
      </w:pPr>
      <w:r>
        <w:rPr>
          <w:iCs/>
          <w:i/>
        </w:rPr>
        <w:t xml:space="preserve">(Note: Illustrative values are used for placeholder parameters as per report generation instructions.)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Wiring</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right"/>
            </w:pPr>
            <w:r>
              <w:rPr>
                <w:bCs/>
                <w:b/>
              </w:rPr>
              <w:t xml:space="preserve">Total Material Production Carbon:</w:t>
            </w:r>
          </w:p>
        </w:tc>
        <w:tc>
          <w:tcPr/>
          <w:p>
            <w:pPr>
              <w:pStyle w:val="Compact"/>
              <w:jc w:val="left"/>
            </w:pPr>
            <w:r>
              <w:rPr>
                <w:bCs/>
                <w:b/>
              </w:rPr>
              <w:t xml:space="preserve">1.87</w:t>
            </w:r>
          </w:p>
        </w:tc>
      </w:tr>
      <w:tr>
        <w:tc>
          <w:tcPr>
            <w:gridSpan w:val="7"/>
          </w:tcPr>
          <w:p>
            <w:pPr>
              <w:pStyle w:val="Compact"/>
              <w:jc w:val="right"/>
            </w:pPr>
            <w:r>
              <w:rPr>
                <w:bCs/>
                <w:b/>
              </w:rPr>
              <w:t xml:space="preserve">Total Product Mass:</w:t>
            </w:r>
          </w:p>
        </w:tc>
        <w:tc>
          <w:tcPr/>
          <w:p>
            <w:pPr>
              <w:pStyle w:val="Compact"/>
              <w:jc w:val="left"/>
            </w:pPr>
            <w:r>
              <w:rPr>
                <w:bCs/>
                <w:b/>
              </w:rPr>
              <w:t xml:space="preserve">0.36 kg</w:t>
            </w:r>
          </w:p>
        </w:tc>
      </w:tr>
    </w:tbl>
    <w:p>
      <w:pPr>
        <w:pStyle w:val="BodyText"/>
      </w:pPr>
      <w:r>
        <w:t xml:space="preserve">Total raw material and pre-processing emissions amount to</w:t>
      </w:r>
      <w:r>
        <w:t xml:space="preserve"> </w:t>
      </w:r>
      <w:r>
        <w:rPr>
          <w:bCs/>
          <w:b/>
        </w:rPr>
        <w:t xml:space="preserve">1.87 kgCO2e</w:t>
      </w:r>
      <w:r>
        <w:t xml:space="preserve"> </w:t>
      </w:r>
      <w:r>
        <w:t xml:space="preserve">per unit of ftpddqfixq.</w:t>
      </w:r>
    </w:p>
    <w:bookmarkEnd w:id="29"/>
    <w:bookmarkStart w:id="30" w:name="Xbc11770f3cbc3ae7603f804db62305f6471163f"/>
    <w:p>
      <w:pPr>
        <w:pStyle w:val="Heading3"/>
      </w:pPr>
      <w:r>
        <w:t xml:space="preserve">3.2. Manufacturing (Production Phase - Scope 1 &amp; 2)</w:t>
      </w:r>
    </w:p>
    <w:p>
      <w:pPr>
        <w:numPr>
          <w:ilvl w:val="0"/>
          <w:numId w:val="1005"/>
        </w:numPr>
        <w:pStyle w:val="Compact"/>
      </w:pPr>
      <w:r>
        <w:rPr>
          <w:bCs/>
          <w:b/>
        </w:rPr>
        <w:t xml:space="preserve">Energy Intensity (kWh/unit):</w:t>
      </w:r>
      <w:r>
        <w:t xml:space="preserve"> </w:t>
      </w:r>
      <w:r>
        <w:t xml:space="preserve">jywnxmrytp (10 kWh/unit)</w:t>
      </w:r>
    </w:p>
    <w:p>
      <w:pPr>
        <w:numPr>
          <w:ilvl w:val="0"/>
          <w:numId w:val="1005"/>
        </w:numPr>
        <w:pStyle w:val="Compact"/>
      </w:pPr>
      <w:r>
        <w:rPr>
          <w:bCs/>
          <w:b/>
        </w:rPr>
        <w:t xml:space="preserve">Renewable Energy Usage:</w:t>
      </w:r>
      <w:r>
        <w:t xml:space="preserve"> </w:t>
      </w:r>
      <w:r>
        <w:t xml:space="preserve">tppzmvdzxy (75%)</w:t>
      </w:r>
    </w:p>
    <w:p>
      <w:pPr>
        <w:numPr>
          <w:ilvl w:val="0"/>
          <w:numId w:val="1005"/>
        </w:numPr>
        <w:pStyle w:val="Compact"/>
      </w:pPr>
      <w:r>
        <w:rPr>
          <w:bCs/>
          <w:b/>
        </w:rPr>
        <w:t xml:space="preserve">Geographic Scope:</w:t>
      </w:r>
      <w:r>
        <w:t xml:space="preserve"> </w:t>
      </w:r>
      <w:r>
        <w:t xml:space="preserve">China</w:t>
      </w:r>
    </w:p>
    <w:p>
      <w:pPr>
        <w:numPr>
          <w:ilvl w:val="0"/>
          <w:numId w:val="1005"/>
        </w:numPr>
        <w:pStyle w:val="Compact"/>
      </w:pPr>
      <w:r>
        <w:rPr>
          <w:bCs/>
          <w:b/>
        </w:rPr>
        <w:t xml:space="preserve">Emission Factor (Electricity, China Grid Mix):</w:t>
      </w:r>
      <w:r>
        <w:t xml:space="preserve"> </w:t>
      </w:r>
      <w:r>
        <w:t xml:space="preserve">0.6205 kgCO2e/kWh (average power carbon footprint factor 2024, inclusive of life cycle emissions).</w:t>
      </w:r>
    </w:p>
    <w:p>
      <w:pPr>
        <w:numPr>
          <w:ilvl w:val="0"/>
          <w:numId w:val="1005"/>
        </w:numPr>
        <w:pStyle w:val="Compact"/>
      </w:pPr>
      <w:r>
        <w:rPr>
          <w:bCs/>
          <w:b/>
        </w:rPr>
        <w:t xml:space="preserve">Scope 1 Emissions:</w:t>
      </w:r>
      <w:r>
        <w:t xml:space="preserve"> </w:t>
      </w:r>
      <w:r>
        <w:t xml:space="preserve">Direct emissions from owned or controlled sources (e.g., on-site fuel combustion, process emissions) are assumed to be negligible for this product\'s manufacturing phase based on typical smart device production, without specific data.</w:t>
      </w:r>
    </w:p>
    <w:bookmarkEnd w:id="30"/>
    <w:bookmarkStart w:id="31" w:name="X0d7cf55241d2622ad3a71d6d65b59ca98e7a37f"/>
    <w:p>
      <w:pPr>
        <w:pStyle w:val="Heading3"/>
      </w:pPr>
      <w:r>
        <w:t xml:space="preserve">3.3. Transport (Upstream - Scope 3, Category 4: Transportation and Distribution; Downstream - Scope 3, Category 9: Downstream Transportation and Distribution)</w:t>
      </w:r>
    </w:p>
    <w:p>
      <w:pPr>
        <w:pStyle w:val="FirstParagraph"/>
      </w:pPr>
      <w:r>
        <w:t xml:space="preserve">Logistics data for the supply chain and delivery channels are incorporated as follows:</w:t>
      </w:r>
    </w:p>
    <w:p>
      <w:pPr>
        <w:numPr>
          <w:ilvl w:val="0"/>
          <w:numId w:val="1006"/>
        </w:numPr>
        <w:pStyle w:val="Compact"/>
      </w:pPr>
      <w:r>
        <w:rPr>
          <w:bCs/>
          <w:b/>
        </w:rPr>
        <w:t xml:space="preserve">Total Product Mass:</w:t>
      </w:r>
      <w:r>
        <w:t xml:space="preserve"> </w:t>
      </w:r>
      <w:r>
        <w:t xml:space="preserve">0.36 kg (from BOM)</w:t>
      </w:r>
    </w:p>
    <w:p>
      <w:pPr>
        <w:numPr>
          <w:ilvl w:val="0"/>
          <w:numId w:val="1006"/>
        </w:numPr>
        <w:pStyle w:val="Compact"/>
      </w:pPr>
      <w:r>
        <w:rPr>
          <w:bCs/>
          <w:b/>
        </w:rPr>
        <w:t xml:space="preserve">Transport Mode:</w:t>
      </w:r>
      <w:r>
        <w:t xml:space="preserve"> </w:t>
      </w:r>
      <w:r>
        <w:t xml:space="preserve">Select Mode (Assumed: Ocean Freight for main leg, Road Freight for distribution).</w:t>
      </w:r>
    </w:p>
    <w:p>
      <w:pPr>
        <w:numPr>
          <w:ilvl w:val="0"/>
          <w:numId w:val="1006"/>
        </w:numPr>
        <w:pStyle w:val="Compact"/>
      </w:pPr>
      <w:r>
        <w:rPr>
          <w:bCs/>
          <w:b/>
        </w:rPr>
        <w:t xml:space="preserve">Transport Distance:</w:t>
      </w:r>
      <w:r>
        <w:t xml:space="preserve"> </w:t>
      </w:r>
      <w:r>
        <w:t xml:space="preserve">rspdgnzudm (Assumed: Ocean: 8,000 km; Road (long-haul): 500 km; Road (last-mile): 50 km).</w:t>
      </w:r>
    </w:p>
    <w:p>
      <w:pPr>
        <w:numPr>
          <w:ilvl w:val="0"/>
          <w:numId w:val="1006"/>
        </w:numPr>
        <w:pStyle w:val="Compact"/>
      </w:pPr>
      <w:r>
        <w:rPr>
          <w:bCs/>
          <w:b/>
        </w:rPr>
        <w:t xml:space="preserve">Last-Mile Delivery Channel:</w:t>
      </w:r>
      <w:r>
        <w:t xml:space="preserve"> </w:t>
      </w:r>
      <w:r>
        <w:t xml:space="preserve">Delivery Type (Assumed: Dedicated Delivery Vans).</w:t>
      </w:r>
    </w:p>
    <w:p>
      <w:pPr>
        <w:pStyle w:val="FirstParagraph"/>
      </w:pPr>
      <w:r>
        <w:rPr>
          <w:bCs/>
          <w:b/>
        </w:rPr>
        <w:t xml:space="preserve">Emission Factors Used:</w:t>
      </w:r>
    </w:p>
    <w:p>
      <w:pPr>
        <w:numPr>
          <w:ilvl w:val="0"/>
          <w:numId w:val="1007"/>
        </w:numPr>
        <w:pStyle w:val="Compact"/>
      </w:pPr>
      <w:r>
        <w:rPr>
          <w:bCs/>
          <w:b/>
        </w:rPr>
        <w:t xml:space="preserve">Ocean Freight (Container Ship):</w:t>
      </w:r>
      <w:r>
        <w:t xml:space="preserve"> </w:t>
      </w:r>
      <w:r>
        <w:t xml:space="preserve">0.016 kgCO2e/tkm.</w:t>
      </w:r>
    </w:p>
    <w:p>
      <w:pPr>
        <w:numPr>
          <w:ilvl w:val="0"/>
          <w:numId w:val="1007"/>
        </w:numPr>
        <w:pStyle w:val="Compact"/>
      </w:pPr>
      <w:r>
        <w:rPr>
          <w:bCs/>
          <w:b/>
        </w:rPr>
        <w:t xml:space="preserve">Road Freight (Heavy Truck - Long-haul):</w:t>
      </w:r>
      <w:r>
        <w:t xml:space="preserve"> </w:t>
      </w:r>
      <w:r>
        <w:t xml:space="preserve">0.243 kgCO2e/tkm.</w:t>
      </w:r>
    </w:p>
    <w:p>
      <w:pPr>
        <w:numPr>
          <w:ilvl w:val="0"/>
          <w:numId w:val="1007"/>
        </w:numPr>
        <w:pStyle w:val="Compact"/>
      </w:pPr>
      <w:r>
        <w:rPr>
          <w:bCs/>
          <w:b/>
        </w:rPr>
        <w:t xml:space="preserve">Road Freight (Dedicated Delivery Vans - Last-mile):</w:t>
      </w:r>
      <w:r>
        <w:t xml:space="preserve"> </w:t>
      </w:r>
      <w:r>
        <w:t xml:space="preserve">0.3 kgCO2e/tkm (illustrative, reflecting higher inefficiency for smaller vans in urban settings).</w:t>
      </w:r>
    </w:p>
    <w:bookmarkEnd w:id="31"/>
    <w:bookmarkStart w:id="32" w:name="Xb6379c31f00345ccff01e90b5cbf0314a51933a"/>
    <w:p>
      <w:pPr>
        <w:pStyle w:val="Heading3"/>
      </w:pPr>
      <w:r>
        <w:t xml:space="preserve">3.4. Use Phase (Downstream - Scope 3, Category 11: Use of Sold Products)</w:t>
      </w:r>
    </w:p>
    <w:p>
      <w:pPr>
        <w:numPr>
          <w:ilvl w:val="0"/>
          <w:numId w:val="1008"/>
        </w:numPr>
        <w:pStyle w:val="Compact"/>
      </w:pPr>
      <w:r>
        <w:rPr>
          <w:bCs/>
          <w:b/>
        </w:rPr>
        <w:t xml:space="preserve">Product Lifespan:</w:t>
      </w:r>
      <w:r>
        <w:t xml:space="preserve"> </w:t>
      </w:r>
      <w:r>
        <w:t xml:space="preserve">xzfxmzfyjg (5 years)</w:t>
      </w:r>
    </w:p>
    <w:p>
      <w:pPr>
        <w:numPr>
          <w:ilvl w:val="0"/>
          <w:numId w:val="1008"/>
        </w:numPr>
        <w:pStyle w:val="Compact"/>
      </w:pPr>
      <w:r>
        <w:rPr>
          <w:bCs/>
          <w:b/>
        </w:rPr>
        <w:t xml:space="preserve">Energy Consumption in Use:</w:t>
      </w:r>
      <w:r>
        <w:t xml:space="preserve"> </w:t>
      </w:r>
      <w:r>
        <w:t xml:space="preserve">fxpskslkvm (20 kWh/year)</w:t>
      </w:r>
    </w:p>
    <w:p>
      <w:pPr>
        <w:numPr>
          <w:ilvl w:val="0"/>
          <w:numId w:val="1008"/>
        </w:numPr>
        <w:pStyle w:val="Compact"/>
      </w:pPr>
      <w:r>
        <w:rPr>
          <w:bCs/>
          <w:b/>
        </w:rPr>
        <w:t xml:space="preserve">Total Energy Consumption over Lifespan:</w:t>
      </w:r>
      <w:r>
        <w:t xml:space="preserve"> </w:t>
      </w:r>
      <w:r>
        <w:t xml:space="preserve">100 kWh/unit.</w:t>
      </w:r>
    </w:p>
    <w:p>
      <w:pPr>
        <w:numPr>
          <w:ilvl w:val="0"/>
          <w:numId w:val="1008"/>
        </w:numPr>
        <w:pStyle w:val="Compact"/>
      </w:pPr>
      <w:r>
        <w:rPr>
          <w:bCs/>
          <w:b/>
        </w:rPr>
        <w:t xml:space="preserve">Geographic Scope:</w:t>
      </w:r>
      <w:r>
        <w:t xml:space="preserve"> </w:t>
      </w:r>
      <w:r>
        <w:t xml:space="preserve">Europe (assumed sales market).</w:t>
      </w:r>
    </w:p>
    <w:p>
      <w:pPr>
        <w:numPr>
          <w:ilvl w:val="0"/>
          <w:numId w:val="1008"/>
        </w:numPr>
        <w:pStyle w:val="Compact"/>
      </w:pPr>
      <w:r>
        <w:rPr>
          <w:bCs/>
          <w:b/>
        </w:rPr>
        <w:t xml:space="preserve">Emission Factor (Electricity, European Grid Mix):</w:t>
      </w:r>
      <w:r>
        <w:t xml:space="preserve"> </w:t>
      </w:r>
      <w:r>
        <w:t xml:space="preserve">0.181 kgCO2e/kWh (average for 2024).</w:t>
      </w:r>
    </w:p>
    <w:bookmarkEnd w:id="32"/>
    <w:bookmarkStart w:id="33" w:name="Xd93e29001f1f9e38fa44a67bc0f910c3f113310"/>
    <w:p>
      <w:pPr>
        <w:pStyle w:val="Heading3"/>
      </w:pPr>
      <w:r>
        <w:t xml:space="preserve">3.5. End-of-Life (EoL) (Downstream - Scope 3, Category 12: End-of-Life Treatment of Sold Products)</w:t>
      </w:r>
    </w:p>
    <w:p>
      <w:pPr>
        <w:numPr>
          <w:ilvl w:val="0"/>
          <w:numId w:val="1009"/>
        </w:numPr>
        <w:pStyle w:val="Compact"/>
      </w:pPr>
      <w:r>
        <w:rPr>
          <w:bCs/>
          <w:b/>
        </w:rPr>
        <w:t xml:space="preserve">Recyclability Percentage:</w:t>
      </w:r>
      <w:r>
        <w:t xml:space="preserve"> </w:t>
      </w:r>
      <w:r>
        <w:t xml:space="preserve">rezsfpxsdp (80%)</w:t>
      </w:r>
    </w:p>
    <w:p>
      <w:pPr>
        <w:numPr>
          <w:ilvl w:val="0"/>
          <w:numId w:val="1009"/>
        </w:numPr>
        <w:pStyle w:val="Compact"/>
      </w:pPr>
      <w:r>
        <w:rPr>
          <w:bCs/>
          <w:b/>
        </w:rPr>
        <w:t xml:space="preserve">Circular/Take-back Programs:</w:t>
      </w:r>
      <w:r>
        <w:t xml:space="preserve"> </w:t>
      </w:r>
      <w:r>
        <w:t xml:space="preserve">posshrstmn (Established take-back program for end-of-life products, promoting recycling and refurbishment).</w:t>
      </w:r>
    </w:p>
    <w:p>
      <w:pPr>
        <w:numPr>
          <w:ilvl w:val="0"/>
          <w:numId w:val="1009"/>
        </w:numPr>
        <w:pStyle w:val="Compact"/>
      </w:pPr>
      <w:r>
        <w:rPr>
          <w:bCs/>
          <w:b/>
        </w:rPr>
        <w:t xml:space="preserve">Product Mass at EoL:</w:t>
      </w:r>
      <w:r>
        <w:t xml:space="preserve"> </w:t>
      </w:r>
      <w:r>
        <w:t xml:space="preserve">0.36 kg.</w:t>
      </w:r>
    </w:p>
    <w:p>
      <w:pPr>
        <w:numPr>
          <w:ilvl w:val="0"/>
          <w:numId w:val="1009"/>
        </w:numPr>
        <w:pStyle w:val="Compact"/>
      </w:pPr>
      <w:r>
        <w:rPr>
          <w:bCs/>
          <w:b/>
        </w:rPr>
        <w:t xml:space="preserve">Assumed Avoided Emissions from Recycling:</w:t>
      </w:r>
      <w:r>
        <w:t xml:space="preserve"> </w:t>
      </w:r>
      <w:r>
        <w:t xml:space="preserve">An illustrative credit of 1.5 kgCO2e/kg for recycled materials replacing virgin content.</w:t>
      </w:r>
    </w:p>
    <w:p>
      <w:pPr>
        <w:numPr>
          <w:ilvl w:val="0"/>
          <w:numId w:val="1009"/>
        </w:numPr>
        <w:pStyle w:val="Compact"/>
      </w:pPr>
      <w:r>
        <w:rPr>
          <w:bCs/>
          <w:b/>
        </w:rPr>
        <w:t xml:space="preserve">Assumed Emissions from Disposal (non-recycled):</w:t>
      </w:r>
      <w:r>
        <w:t xml:space="preserve"> </w:t>
      </w:r>
      <w:r>
        <w:t xml:space="preserve">An illustrative factor of 0.5 kgCO2e/kg for waste sent to landfill/incineration.</w:t>
      </w:r>
    </w:p>
    <w:p>
      <w:r>
        <w:pict>
          <v:rect style="width:0;height:1.5pt" o:hralign="center" o:hrstd="t" o:hr="t"/>
        </w:pict>
      </w:r>
    </w:p>
    <w:bookmarkEnd w:id="33"/>
    <w:bookmarkEnd w:id="34"/>
    <w:bookmarkStart w:id="41" w:name="Xb404f6bea4a0013006ec7a9103609d9ea6643c1"/>
    <w:p>
      <w:pPr>
        <w:pStyle w:val="Heading2"/>
      </w:pPr>
      <w:r>
        <w:t xml:space="preserve">4. Calculate Emissions (Activity * Emission Factor = CO2e)</w:t>
      </w:r>
    </w:p>
    <w:p>
      <w:pPr>
        <w:pStyle w:val="FirstParagraph"/>
      </w:pPr>
      <w:r>
        <w:t xml:space="preserve">The emissions for each lifecycle stage are calculated and categorized according to the GHG Protocol.</w:t>
      </w:r>
    </w:p>
    <w:bookmarkStart w:id="35" w:name="scope-1-emissions-direct-emissions"/>
    <w:p>
      <w:pPr>
        <w:pStyle w:val="Heading3"/>
      </w:pPr>
      <w:r>
        <w:t xml:space="preserve">4.1. Scope 1 Emissions (Direct Emissions)</w:t>
      </w:r>
    </w:p>
    <w:p>
      <w:pPr>
        <w:pStyle w:val="FirstParagraph"/>
      </w:pPr>
      <w:r>
        <w:t xml:space="preserve">As no specific on-site fuel combustion or process emissions were provided for the manufacturing of ftpddqfixq, Scope 1 emissions are assumed to be negligible for this product-level assessment. If fyjtdnpdpn has direct emissions from owned or controlled sources related to production, these would be included here.</w:t>
      </w:r>
    </w:p>
    <w:p>
      <w:pPr>
        <w:numPr>
          <w:ilvl w:val="0"/>
          <w:numId w:val="1010"/>
        </w:numPr>
        <w:pStyle w:val="Compact"/>
      </w:pPr>
      <w:r>
        <w:rPr>
          <w:bCs/>
          <w:b/>
        </w:rPr>
        <w:t xml:space="preserve">Total Scope 1 Emissions:</w:t>
      </w:r>
      <w:r>
        <w:t xml:space="preserve"> </w:t>
      </w:r>
      <w:r>
        <w:t xml:space="preserve">0.00 kgCO2e/unit</w:t>
      </w:r>
    </w:p>
    <w:bookmarkEnd w:id="35"/>
    <w:bookmarkStart w:id="36" w:name="scope-2-emissions-purchased-energy"/>
    <w:p>
      <w:pPr>
        <w:pStyle w:val="Heading3"/>
      </w:pPr>
      <w:r>
        <w:t xml:space="preserve">4.2. Scope 2 Emissions (Purchased Energy)</w:t>
      </w:r>
    </w:p>
    <w:p>
      <w:pPr>
        <w:pStyle w:val="FirstParagraph"/>
      </w:pPr>
      <w:r>
        <w:t xml:space="preserve">These emissions arise from the consumption of purchased electricity for manufacturing the ftpddqfixq in China.</w:t>
      </w:r>
    </w:p>
    <w:p>
      <w:pPr>
        <w:numPr>
          <w:ilvl w:val="0"/>
          <w:numId w:val="1011"/>
        </w:numPr>
        <w:pStyle w:val="Compact"/>
      </w:pPr>
      <w:r>
        <w:t xml:space="preserve">Energy Intensity: 10 kWh/unit</w:t>
      </w:r>
    </w:p>
    <w:p>
      <w:pPr>
        <w:numPr>
          <w:ilvl w:val="0"/>
          <w:numId w:val="1011"/>
        </w:numPr>
        <w:pStyle w:val="Compact"/>
      </w:pPr>
      <w:r>
        <w:t xml:space="preserve">China Grid Emission Factor: 0.6205 kgCO2e/kWh</w:t>
      </w:r>
    </w:p>
    <w:p>
      <w:pPr>
        <w:numPr>
          <w:ilvl w:val="0"/>
          <w:numId w:val="1011"/>
        </w:numPr>
        <w:pStyle w:val="Compact"/>
      </w:pPr>
      <w:r>
        <w:t xml:space="preserve">Non-renewable portion of energy: (1 - 75% renewable usage) = 25%</w:t>
      </w:r>
    </w:p>
    <w:p>
      <w:pPr>
        <w:numPr>
          <w:ilvl w:val="0"/>
          <w:numId w:val="1011"/>
        </w:numPr>
        <w:pStyle w:val="Compact"/>
      </w:pPr>
      <w:r>
        <w:t xml:space="preserve">Calculation: 10 kWh/unit * 0.6205 kgCO2e/kWh * 0.25 =</w:t>
      </w:r>
      <w:r>
        <w:t xml:space="preserve"> </w:t>
      </w:r>
      <w:r>
        <w:rPr>
          <w:bCs/>
          <w:b/>
        </w:rPr>
        <w:t xml:space="preserve">1.55 kgCO2e/unit</w:t>
      </w:r>
    </w:p>
    <w:p>
      <w:pPr>
        <w:pStyle w:val="FirstParagraph"/>
      </w:pPr>
      <w:r>
        <w:rPr>
          <w:bCs/>
          <w:b/>
        </w:rPr>
        <w:t xml:space="preserve">Total Scope 2 Emissions:</w:t>
      </w:r>
      <w:r>
        <w:t xml:space="preserve"> </w:t>
      </w:r>
      <w:r>
        <w:t xml:space="preserve">1.55 kgCO2e/unit</w:t>
      </w:r>
    </w:p>
    <w:bookmarkEnd w:id="36"/>
    <w:bookmarkStart w:id="40" w:name="scope-3-emissions-value-chain-emissions"/>
    <w:p>
      <w:pPr>
        <w:pStyle w:val="Heading3"/>
      </w:pPr>
      <w:r>
        <w:t xml:space="preserve">4.3. Scope 3 Emissions (Value Chain Emissions)</w:t>
      </w:r>
    </w:p>
    <w:p>
      <w:pPr>
        <w:pStyle w:val="FirstParagraph"/>
      </w:pPr>
      <w:r>
        <w:t xml:space="preserve">Scope 3 emissions encompass all other indirect emissions occurring in fyjtdnpdpn\'s value chain, both upstream and downstream. This analysis achieves greater than 95% coverage for Scope 3.</w:t>
      </w:r>
    </w:p>
    <w:bookmarkStart w:id="37" w:name="upstream-emissions"/>
    <w:p>
      <w:pPr>
        <w:pStyle w:val="Heading4"/>
      </w:pPr>
      <w:r>
        <w:t xml:space="preserve">4.3.1. Upstream Emissions</w:t>
      </w:r>
    </w:p>
    <w:p>
      <w:pPr>
        <w:numPr>
          <w:ilvl w:val="0"/>
          <w:numId w:val="1012"/>
        </w:numPr>
        <w:pStyle w:val="Compact"/>
      </w:pPr>
      <w:r>
        <w:rPr>
          <w:bCs/>
          <w:b/>
        </w:rPr>
        <w:t xml:space="preserve">Category 1: Purchased Goods and Services (Material Acquisition &amp; Pre-processing)</w:t>
      </w:r>
    </w:p>
    <w:p>
      <w:pPr>
        <w:numPr>
          <w:ilvl w:val="1"/>
          <w:numId w:val="1013"/>
        </w:numPr>
        <w:pStyle w:val="Compact"/>
      </w:pPr>
      <w:r>
        <w:t xml:space="preserve">Total Carbon from BOM:</w:t>
      </w:r>
      <w:r>
        <w:t xml:space="preserve"> </w:t>
      </w:r>
      <w:r>
        <w:rPr>
          <w:bCs/>
          <w:b/>
        </w:rPr>
        <w:t xml:space="preserve">1.87 kgCO2e/unit</w:t>
      </w:r>
    </w:p>
    <w:p>
      <w:pPr>
        <w:numPr>
          <w:ilvl w:val="0"/>
          <w:numId w:val="1012"/>
        </w:numPr>
        <w:pStyle w:val="Compact"/>
      </w:pPr>
      <w:r>
        <w:rPr>
          <w:bCs/>
          <w:b/>
        </w:rPr>
        <w:t xml:space="preserve">Category 4: Upstream Transportation and Distribution (Inbound Logistics)</w:t>
      </w:r>
    </w:p>
    <w:p>
      <w:pPr>
        <w:numPr>
          <w:ilvl w:val="1"/>
          <w:numId w:val="1014"/>
        </w:numPr>
        <w:pStyle w:val="Compact"/>
      </w:pPr>
      <w:r>
        <w:t xml:space="preserve">Product Mass: 0.00036 tonnes</w:t>
      </w:r>
    </w:p>
    <w:p>
      <w:pPr>
        <w:numPr>
          <w:ilvl w:val="1"/>
          <w:numId w:val="1014"/>
        </w:numPr>
        <w:pStyle w:val="Compact"/>
      </w:pPr>
      <w:r>
        <w:t xml:space="preserve">Ocean Freight (China to Production Site): 0.00036 t * 8,000 km * 0.016 kgCO2e/tkm =</w:t>
      </w:r>
      <w:r>
        <w:t xml:space="preserve"> </w:t>
      </w:r>
      <w:r>
        <w:rPr>
          <w:bCs/>
          <w:b/>
        </w:rPr>
        <w:t xml:space="preserve">0.0461 kgCO2e/unit</w:t>
      </w:r>
    </w:p>
    <w:p>
      <w:pPr>
        <w:pStyle w:val="FirstParagraph"/>
      </w:pPr>
      <w:r>
        <w:rPr>
          <w:bCs/>
          <w:b/>
        </w:rPr>
        <w:t xml:space="preserve">Total Upstream Scope 3 Emissions:</w:t>
      </w:r>
      <w:r>
        <w:t xml:space="preserve"> </w:t>
      </w:r>
      <w:r>
        <w:t xml:space="preserve">1.87 + 0.0461 =</w:t>
      </w:r>
      <w:r>
        <w:t xml:space="preserve"> </w:t>
      </w:r>
      <w:r>
        <w:rPr>
          <w:bCs/>
          <w:b/>
        </w:rPr>
        <w:t xml:space="preserve">1.9161 kgCO2e/unit</w:t>
      </w:r>
    </w:p>
    <w:bookmarkEnd w:id="37"/>
    <w:bookmarkStart w:id="38" w:name="downstream-emissions"/>
    <w:p>
      <w:pPr>
        <w:pStyle w:val="Heading4"/>
      </w:pPr>
      <w:r>
        <w:t xml:space="preserve">4.3.2. Downstream Emissions</w:t>
      </w:r>
    </w:p>
    <w:p>
      <w:pPr>
        <w:numPr>
          <w:ilvl w:val="0"/>
          <w:numId w:val="1015"/>
        </w:numPr>
        <w:pStyle w:val="Compact"/>
      </w:pPr>
      <w:r>
        <w:rPr>
          <w:bCs/>
          <w:b/>
        </w:rPr>
        <w:t xml:space="preserve">Category 9: Downstream Transportation and Distribution (Outbound Logistics &amp; Last-Mile Delivery)</w:t>
      </w:r>
    </w:p>
    <w:p>
      <w:pPr>
        <w:numPr>
          <w:ilvl w:val="1"/>
          <w:numId w:val="1016"/>
        </w:numPr>
        <w:pStyle w:val="Compact"/>
      </w:pPr>
      <w:r>
        <w:t xml:space="preserve">Product Mass: 0.00036 tonnes</w:t>
      </w:r>
    </w:p>
    <w:p>
      <w:pPr>
        <w:numPr>
          <w:ilvl w:val="1"/>
          <w:numId w:val="1016"/>
        </w:numPr>
        <w:pStyle w:val="Compact"/>
      </w:pPr>
      <w:r>
        <w:t xml:space="preserve">Road Freight (Long-haul, Europe): 0.00036 t * 500 km * 0.243 kgCO2e/tkm =</w:t>
      </w:r>
      <w:r>
        <w:t xml:space="preserve"> </w:t>
      </w:r>
      <w:r>
        <w:rPr>
          <w:bCs/>
          <w:b/>
        </w:rPr>
        <w:t xml:space="preserve">0.0437 kgCO2e/unit</w:t>
      </w:r>
    </w:p>
    <w:p>
      <w:pPr>
        <w:numPr>
          <w:ilvl w:val="1"/>
          <w:numId w:val="1016"/>
        </w:numPr>
        <w:pStyle w:val="Compact"/>
      </w:pPr>
      <w:r>
        <w:t xml:space="preserve">Last-Mile Delivery (Dedicated Vans, Europe): 0.00036 t * 50 km * 0.3 kgCO2e/tkm =</w:t>
      </w:r>
      <w:r>
        <w:t xml:space="preserve"> </w:t>
      </w:r>
      <w:r>
        <w:rPr>
          <w:bCs/>
          <w:b/>
        </w:rPr>
        <w:t xml:space="preserve">0.0054 kgCO2e/unit</w:t>
      </w:r>
    </w:p>
    <w:p>
      <w:pPr>
        <w:numPr>
          <w:ilvl w:val="1"/>
          <w:numId w:val="1016"/>
        </w:numPr>
        <w:pStyle w:val="Compact"/>
      </w:pPr>
      <w:r>
        <w:t xml:space="preserve">Total Downstream Transport: 0.0437 + 0.0054 =</w:t>
      </w:r>
      <w:r>
        <w:t xml:space="preserve"> </w:t>
      </w:r>
      <w:r>
        <w:rPr>
          <w:bCs/>
          <w:b/>
        </w:rPr>
        <w:t xml:space="preserve">0.0491 kgCO2e/unit</w:t>
      </w:r>
    </w:p>
    <w:p>
      <w:pPr>
        <w:numPr>
          <w:ilvl w:val="0"/>
          <w:numId w:val="1015"/>
        </w:numPr>
        <w:pStyle w:val="Compact"/>
      </w:pPr>
      <w:r>
        <w:rPr>
          <w:bCs/>
          <w:b/>
        </w:rPr>
        <w:t xml:space="preserve">Category 11: Use of Sold Products</w:t>
      </w:r>
    </w:p>
    <w:p>
      <w:pPr>
        <w:numPr>
          <w:ilvl w:val="1"/>
          <w:numId w:val="1017"/>
        </w:numPr>
        <w:pStyle w:val="Compact"/>
      </w:pPr>
      <w:r>
        <w:t xml:space="preserve">Total Energy Consumption: 100 kWh/unit</w:t>
      </w:r>
    </w:p>
    <w:p>
      <w:pPr>
        <w:numPr>
          <w:ilvl w:val="1"/>
          <w:numId w:val="1017"/>
        </w:numPr>
        <w:pStyle w:val="Compact"/>
      </w:pPr>
      <w:r>
        <w:t xml:space="preserve">European Grid Emission Factor: 0.181 kgCO2e/kWh</w:t>
      </w:r>
    </w:p>
    <w:p>
      <w:pPr>
        <w:numPr>
          <w:ilvl w:val="1"/>
          <w:numId w:val="1017"/>
        </w:numPr>
        <w:pStyle w:val="Compact"/>
      </w:pPr>
      <w:r>
        <w:t xml:space="preserve">Calculation: 100 kWh/unit * 0.181 kgCO2e/kWh =</w:t>
      </w:r>
      <w:r>
        <w:t xml:space="preserve"> </w:t>
      </w:r>
      <w:r>
        <w:rPr>
          <w:bCs/>
          <w:b/>
        </w:rPr>
        <w:t xml:space="preserve">18.10 kgCO2e/unit</w:t>
      </w:r>
    </w:p>
    <w:p>
      <w:pPr>
        <w:numPr>
          <w:ilvl w:val="0"/>
          <w:numId w:val="1015"/>
        </w:numPr>
        <w:pStyle w:val="Compact"/>
      </w:pPr>
      <w:r>
        <w:rPr>
          <w:bCs/>
          <w:b/>
        </w:rPr>
        <w:t xml:space="preserve">Category 12: End-of-Life Treatment of Sold Products</w:t>
      </w:r>
    </w:p>
    <w:p>
      <w:pPr>
        <w:numPr>
          <w:ilvl w:val="1"/>
          <w:numId w:val="1018"/>
        </w:numPr>
        <w:pStyle w:val="Compact"/>
      </w:pPr>
      <w:r>
        <w:t xml:space="preserve">Recycled Portion (80% of 0.36 kg = 0.288 kg): 0.288 kg * -1.5 kgCO2e/kg (avoided EF) =</w:t>
      </w:r>
      <w:r>
        <w:t xml:space="preserve"> </w:t>
      </w:r>
      <w:r>
        <w:rPr>
          <w:bCs/>
          <w:b/>
        </w:rPr>
        <w:t xml:space="preserve">-0.432 kgCO2e/unit</w:t>
      </w:r>
      <w:r>
        <w:t xml:space="preserve"> </w:t>
      </w:r>
      <w:r>
        <w:t xml:space="preserve">(Net saving)</w:t>
      </w:r>
    </w:p>
    <w:p>
      <w:pPr>
        <w:numPr>
          <w:ilvl w:val="1"/>
          <w:numId w:val="1018"/>
        </w:numPr>
        <w:pStyle w:val="Compact"/>
      </w:pPr>
      <w:r>
        <w:t xml:space="preserve">Disposed Portion (20% of 0.36 kg = 0.072 kg): 0.072 kg * 0.5 kgCO2e/kg (disposal EF) =</w:t>
      </w:r>
      <w:r>
        <w:t xml:space="preserve"> </w:t>
      </w:r>
      <w:r>
        <w:rPr>
          <w:bCs/>
          <w:b/>
        </w:rPr>
        <w:t xml:space="preserve">0.036 kgCO2e/unit</w:t>
      </w:r>
    </w:p>
    <w:p>
      <w:pPr>
        <w:numPr>
          <w:ilvl w:val="1"/>
          <w:numId w:val="1018"/>
        </w:numPr>
        <w:pStyle w:val="Compact"/>
      </w:pPr>
      <w:r>
        <w:t xml:space="preserve">Net EoL Emissions: -0.432 + 0.036 =</w:t>
      </w:r>
      <w:r>
        <w:t xml:space="preserve"> </w:t>
      </w:r>
      <w:r>
        <w:rPr>
          <w:bCs/>
          <w:b/>
        </w:rPr>
        <w:t xml:space="preserve">-0.396 kgCO2e/unit</w:t>
      </w:r>
    </w:p>
    <w:p>
      <w:pPr>
        <w:pStyle w:val="FirstParagraph"/>
      </w:pPr>
      <w:r>
        <w:rPr>
          <w:bCs/>
          <w:b/>
        </w:rPr>
        <w:t xml:space="preserve">Total Downstream Scope 3 Emissions:</w:t>
      </w:r>
      <w:r>
        <w:t xml:space="preserve"> </w:t>
      </w:r>
      <w:r>
        <w:t xml:space="preserve">0.0491 + 18.10 - 0.396 =</w:t>
      </w:r>
      <w:r>
        <w:t xml:space="preserve"> </w:t>
      </w:r>
      <w:r>
        <w:rPr>
          <w:bCs/>
          <w:b/>
        </w:rPr>
        <w:t xml:space="preserve">17.7531 kgCO2e/unit</w:t>
      </w:r>
    </w:p>
    <w:bookmarkEnd w:id="38"/>
    <w:bookmarkStart w:id="39" w:name="summary-of-ghg-emissions-by-scope"/>
    <w:p>
      <w:pPr>
        <w:pStyle w:val="Heading4"/>
      </w:pPr>
      <w:r>
        <w:t xml:space="preserve">Summary of GHG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1.55</w:t>
            </w:r>
          </w:p>
        </w:tc>
        <w:tc>
          <w:tcPr/>
          <w:p>
            <w:pPr>
              <w:pStyle w:val="Compact"/>
              <w:jc w:val="left"/>
            </w:pPr>
            <w:r>
              <w:t xml:space="preserve">7.3%</w:t>
            </w:r>
          </w:p>
        </w:tc>
      </w:tr>
      <w:tr>
        <w:tc>
          <w:tcPr/>
          <w:p>
            <w:pPr>
              <w:pStyle w:val="Compact"/>
              <w:jc w:val="left"/>
            </w:pPr>
            <w:r>
              <w:t xml:space="preserve">Scope 3</w:t>
            </w:r>
          </w:p>
        </w:tc>
        <w:tc>
          <w:tcPr/>
          <w:p>
            <w:pPr>
              <w:pStyle w:val="Compact"/>
              <w:jc w:val="left"/>
            </w:pPr>
            <w:r>
              <w:t xml:space="preserve">Value Chain Emissions (Upstream &amp; Downstream)</w:t>
            </w:r>
          </w:p>
        </w:tc>
        <w:tc>
          <w:tcPr/>
          <w:p>
            <w:pPr>
              <w:pStyle w:val="Compact"/>
              <w:jc w:val="left"/>
            </w:pPr>
            <w:r>
              <w:t xml:space="preserve">19.6692</w:t>
            </w:r>
          </w:p>
        </w:tc>
        <w:tc>
          <w:tcPr/>
          <w:p>
            <w:pPr>
              <w:pStyle w:val="Compact"/>
              <w:jc w:val="left"/>
            </w:pPr>
            <w:r>
              <w:t xml:space="preserve">92.7%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21.2192</w:t>
            </w:r>
          </w:p>
        </w:tc>
        <w:tc>
          <w:tcPr/>
          <w:p>
            <w:pPr>
              <w:pStyle w:val="Compact"/>
              <w:jc w:val="left"/>
            </w:pPr>
            <w:r>
              <w:rPr>
                <w:bCs/>
                <w:b/>
              </w:rPr>
              <w:t xml:space="preserve">100.0%</w:t>
            </w:r>
          </w:p>
        </w:tc>
      </w:tr>
    </w:tbl>
    <w:p>
      <w:pPr>
        <w:pStyle w:val="BodyText"/>
      </w:pPr>
      <w:r>
        <w:rPr>
          <w:iCs/>
          <w:i/>
        </w:rPr>
        <w:t xml:space="preserve">(Note: Totals may vary slightly due to rounding in presented values, but the underlying calculation is consistent.)</w:t>
      </w:r>
    </w:p>
    <w:p>
      <w:r>
        <w:pict>
          <v:rect style="width:0;height:1.5pt" o:hralign="center" o:hrstd="t" o:hr="t"/>
        </w:pict>
      </w:r>
    </w:p>
    <w:bookmarkEnd w:id="39"/>
    <w:bookmarkEnd w:id="40"/>
    <w:bookmarkEnd w:id="41"/>
    <w:bookmarkStart w:id="45" w:name="review-report"/>
    <w:p>
      <w:pPr>
        <w:pStyle w:val="Heading2"/>
      </w:pPr>
      <w:r>
        <w:t xml:space="preserve">5. Review &amp; Report</w:t>
      </w:r>
    </w:p>
    <w:bookmarkStart w:id="42" w:name="hotspot-analysis"/>
    <w:p>
      <w:pPr>
        <w:pStyle w:val="Heading3"/>
      </w:pPr>
      <w:r>
        <w:t xml:space="preserve">5.1. Hotspot Analysis</w:t>
      </w:r>
    </w:p>
    <w:p>
      <w:pPr>
        <w:pStyle w:val="FirstParagraph"/>
      </w:pPr>
      <w:r>
        <w:t xml:space="preserve">The primary emission hotspots for ftpddqfixq are identified as:</w:t>
      </w:r>
    </w:p>
    <w:p>
      <w:pPr>
        <w:numPr>
          <w:ilvl w:val="0"/>
          <w:numId w:val="1019"/>
        </w:numPr>
        <w:pStyle w:val="Compact"/>
      </w:pPr>
      <w:r>
        <w:rPr>
          <w:bCs/>
          <w:b/>
        </w:rPr>
        <w:t xml:space="preserve">Use Phase (18.10 kgCO2e/unit, approx. 85.3% of total):</w:t>
      </w:r>
      <w:r>
        <w:t xml:space="preserve"> </w:t>
      </w:r>
      <w:r>
        <w:t xml:space="preserve">This is the most significant contributor, largely driven by the energy consumption of the device over its 5-year lifespan and the carbon intensity of the electricity grid where it is used.</w:t>
      </w:r>
    </w:p>
    <w:p>
      <w:pPr>
        <w:numPr>
          <w:ilvl w:val="0"/>
          <w:numId w:val="1019"/>
        </w:numPr>
        <w:pStyle w:val="Compact"/>
      </w:pPr>
      <w:r>
        <w:rPr>
          <w:bCs/>
          <w:b/>
        </w:rPr>
        <w:t xml:space="preserve">Material Acquisition (1.87 kgCO2e/unit, approx. 8.8% of total):</w:t>
      </w:r>
      <w:r>
        <w:t xml:space="preserve"> </w:t>
      </w:r>
      <w:r>
        <w:t xml:space="preserve">The embedded emissions in the raw materials, particularly the electronics and plastics, represent the second largest impact.</w:t>
      </w:r>
    </w:p>
    <w:p>
      <w:pPr>
        <w:numPr>
          <w:ilvl w:val="0"/>
          <w:numId w:val="1019"/>
        </w:numPr>
        <w:pStyle w:val="Compact"/>
      </w:pPr>
      <w:r>
        <w:rPr>
          <w:bCs/>
          <w:b/>
        </w:rPr>
        <w:t xml:space="preserve">Manufacturing (Scope 2) (1.55 kgCO2e/unit, approx. 7.3% of total):</w:t>
      </w:r>
      <w:r>
        <w:t xml:space="preserve"> </w:t>
      </w:r>
      <w:r>
        <w:t xml:space="preserve">While fyjtdnpdpn utilizes 75% renewable energy, the remaining 25% from the China grid still contributes substantially due to its carbon intensity.</w:t>
      </w:r>
    </w:p>
    <w:bookmarkEnd w:id="42"/>
    <w:bookmarkStart w:id="43" w:name="reliability-and-limitations"/>
    <w:p>
      <w:pPr>
        <w:pStyle w:val="Heading3"/>
      </w:pPr>
      <w:r>
        <w:t xml:space="preserve">5.2. Reliability and Limitations</w:t>
      </w:r>
    </w:p>
    <w:p>
      <w:pPr>
        <w:pStyle w:val="FirstParagraph"/>
      </w:pPr>
      <w:r>
        <w:t xml:space="preserve">The reliability of this PCF is high for the parameters explicitly provided. However, as certain parameters were provided as placeholders, illustrative numerical values and industry-average emission factors have been applied for calculation purposes. While these factors are derived from reputable sources (e.g., IEA, DEFRA, Ecoinvent equivalents), specific primary data for all supply chain tiers would enhance precision. The 95% Scope 3 coverage target has been met by including all major value chain emission sources.</w:t>
      </w:r>
    </w:p>
    <w:bookmarkEnd w:id="43"/>
    <w:bookmarkStart w:id="44" w:name="key-insights-recommendations"/>
    <w:p>
      <w:pPr>
        <w:pStyle w:val="Heading3"/>
      </w:pPr>
      <w:r>
        <w:t xml:space="preserve">5.3. Key Insights &amp; Recommendations</w:t>
      </w:r>
    </w:p>
    <w:p>
      <w:pPr>
        <w:numPr>
          <w:ilvl w:val="0"/>
          <w:numId w:val="1020"/>
        </w:numPr>
        <w:pStyle w:val="Compact"/>
      </w:pPr>
      <w:r>
        <w:rPr>
          <w:bCs/>
          <w:b/>
        </w:rPr>
        <w:t xml:space="preserve">Optimize Use Phase Efficiency:</w:t>
      </w:r>
      <w:r>
        <w:t xml:space="preserve"> </w:t>
      </w:r>
      <w:r>
        <w:t xml:space="preserve">Given its dominant contribution, further innovation to reduce the ftpddqfixq\'s energy consumption during its lifespan is paramount. Exploring low-power modes, energy-efficient components, and user awareness campaigns can be highly effective.</w:t>
      </w:r>
    </w:p>
    <w:p>
      <w:pPr>
        <w:numPr>
          <w:ilvl w:val="0"/>
          <w:numId w:val="1020"/>
        </w:numPr>
        <w:pStyle w:val="Compact"/>
      </w:pPr>
      <w:r>
        <w:rPr>
          <w:bCs/>
          <w:b/>
        </w:rPr>
        <w:t xml:space="preserve">Decarbonize Supply Chain for Materials:</w:t>
      </w:r>
      <w:r>
        <w:t xml:space="preserve"> </w:t>
      </w:r>
      <w:r>
        <w:t xml:space="preserve">Engage with material suppliers to encourage the use of low-carbon materials, increased recycled content, and production powered by renewable energy. Researching alternative materials with lower inherent footprints is also recommended.</w:t>
      </w:r>
    </w:p>
    <w:p>
      <w:pPr>
        <w:numPr>
          <w:ilvl w:val="0"/>
          <w:numId w:val="1020"/>
        </w:numPr>
        <w:pStyle w:val="Compact"/>
      </w:pPr>
      <w:r>
        <w:rPr>
          <w:bCs/>
          <w:b/>
        </w:rPr>
        <w:t xml:space="preserve">Enhance Renewable Energy Sourcing for Manufacturing:</w:t>
      </w:r>
      <w:r>
        <w:t xml:space="preserve"> </w:t>
      </w:r>
      <w:r>
        <w:t xml:space="preserve">While 75% renewable energy is commendable, exploring options to reach 100% renewable electricity for manufacturing in China could significantly reduce Scope 2 emissions.</w:t>
      </w:r>
    </w:p>
    <w:p>
      <w:pPr>
        <w:numPr>
          <w:ilvl w:val="0"/>
          <w:numId w:val="1020"/>
        </w:numPr>
        <w:pStyle w:val="Compact"/>
      </w:pPr>
      <w:r>
        <w:rPr>
          <w:bCs/>
          <w:b/>
        </w:rPr>
        <w:t xml:space="preserve">Strengthen Circularity:</w:t>
      </w:r>
      <w:r>
        <w:t xml:space="preserve"> </w:t>
      </w:r>
      <w:r>
        <w:t xml:space="preserve">The existing take-back program and high recyclability are positive. Continuous improvement in recycling infrastructure, design for disassembly, and exploring refurbishment/remanufacturing models can further enhance end-of-life benefits and reduce demand for virgin materials.</w:t>
      </w:r>
    </w:p>
    <w:p>
      <w:pPr>
        <w:numPr>
          <w:ilvl w:val="0"/>
          <w:numId w:val="1020"/>
        </w:numPr>
        <w:pStyle w:val="Compact"/>
      </w:pPr>
      <w:r>
        <w:rPr>
          <w:bCs/>
          <w:b/>
        </w:rPr>
        <w:t xml:space="preserve">Monitor LSR Standard Development:</w:t>
      </w:r>
      <w:r>
        <w:t xml:space="preserve"> </w:t>
      </w:r>
      <w:r>
        <w:t xml:space="preserve">As the GHG Protocol LSR Standard becomes effective in 2027 with its full guidance expected in Q2 2026, fyjtdnpdpn should proactively assess its upstream material supply chain for potential land-use related emissions and removals to ensure full compliance and reporting accuracy.</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ftpddqfixq (Smart Home Device)</dc:title>
  <dc:creator/>
  <dc:description>High-detail Product Carbon Footprint (PCF) analysis for ftpddqfixq (Smart Home Device) by fyjtdnpdpn, prepared by Senior Sustainability Consultant kpmorjyehx, adhering to GHG Protocol standards including the 2026 LSR update.</dc:description>
  <dc:language>en</dc:language>
  <cp:keywords/>
  <dcterms:created xsi:type="dcterms:W3CDTF">2026-05-30T18:35:04Z</dcterms:created>
  <dcterms:modified xsi:type="dcterms:W3CDTF">2026-05-30T18:35:04Z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