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fsutfvltww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fsutfvltww"/>
    <w:p>
      <w:pPr>
        <w:pStyle w:val="Heading2"/>
      </w:pPr>
      <w:r>
        <w:t xml:space="preserve">for Product: fsutfvltww</w:t>
      </w:r>
    </w:p>
    <w:p>
      <w:pPr>
        <w:pStyle w:val="FirstParagraph"/>
      </w:pPr>
      <w:r>
        <w:br/>
      </w:r>
    </w:p>
    <w:p>
      <w:pPr>
        <w:pStyle w:val="BodyText"/>
      </w:pPr>
      <w:r>
        <w:rPr>
          <w:bCs/>
          <w:b/>
        </w:rPr>
        <w:t xml:space="preserve">Company Name:</w:t>
      </w:r>
      <w:r>
        <w:t xml:space="preserve"> </w:t>
      </w:r>
      <w:r>
        <w:t xml:space="preserve">thprmyrqev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myiwoxeomk</w:t>
      </w:r>
    </w:p>
    <w:p>
      <w:pPr>
        <w:pStyle w:val="BodyText"/>
      </w:pPr>
      <w:r>
        <w:br/>
      </w:r>
      <w:r>
        <w:br/>
      </w:r>
    </w:p>
    <w:p>
      <w:pPr>
        <w:pStyle w:val="BodyText"/>
      </w:pPr>
      <w:r>
        <w:t xml:space="preserve">This report is generated based on available data and industry standards.</w:t>
      </w:r>
      <w:r>
        <w:t xml:space="preserve"> </w:t>
      </w:r>
      <w:r>
        <w:t xml:space="preserve">The accuracy of the results is dependent on the completeness and quality of the input data.</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fsutfvltww</w:t>
      </w:r>
    </w:p>
    <w:p>
      <w:pPr>
        <w:pStyle w:val="BodyText"/>
      </w:pPr>
      <w:r>
        <w:rPr>
          <w:bCs/>
          <w:b/>
        </w:rPr>
        <w:t xml:space="preserve">Generated Date:</w:t>
      </w:r>
      <w:r>
        <w:t xml:space="preserve"> </w:t>
      </w:r>
      <w:r>
        <w:t xml:space="preserve">June 3,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fsutfvltww,</w:t>
      </w:r>
      <w:r>
        <w:t xml:space="preserve"> </w:t>
      </w:r>
      <w:r>
        <w:t xml:space="preserve">manufactured by thprmyrqev. The analysis was conducted by myiwoxeomk, a Senior Sustainability Consultant</w:t>
      </w:r>
      <w:r>
        <w:t xml:space="preserve"> </w:t>
      </w:r>
      <w:r>
        <w:t xml:space="preserve">specializing in the GHG Protocol. The objective is to quantify the greenhouse gas (GHG) emissions</w:t>
      </w:r>
      <w:r>
        <w:t xml:space="preserve"> </w:t>
      </w:r>
      <w:r>
        <w:t xml:space="preserve">associated with the product\'s lifecycle, categorize them according to the GHG Protocol Scopes,</w:t>
      </w:r>
      <w:r>
        <w:t xml:space="preserve"> </w:t>
      </w:r>
      <w:r>
        <w:t xml:space="preserve">and identify key emission hotspots. This analysis adheres to the GHG Protocol Corporate Standard,</w:t>
      </w:r>
      <w:r>
        <w:t xml:space="preserve"> </w:t>
      </w:r>
      <w:r>
        <w:t xml:space="preserve">the Corporate Value Chain (Scope 3) Accounting and Reporting Standard, and incorporates principles from</w:t>
      </w:r>
      <w:r>
        <w:t xml:space="preserve"> </w:t>
      </w:r>
      <w:r>
        <w:t xml:space="preserve">the forthcoming 2026 Land Sector and Removals (LSR) Standard and updated Scope 3 reporting requirements.</w:t>
      </w:r>
      <w:r>
        <w:t xml:space="preserve"> </w:t>
      </w:r>
      <w:r>
        <w:t xml:space="preserve">The total Product Carbon Footprint for one functional unit of fsutfvltww is calculated, providing a baseline</w:t>
      </w:r>
      <w:r>
        <w:t xml:space="preserve"> </w:t>
      </w:r>
      <w:r>
        <w:t xml:space="preserve">for thprmyrqev\'s sustainability initiatives.</w:t>
      </w:r>
    </w:p>
    <w:bookmarkEnd w:id="23"/>
    <w:p>
      <w:r>
        <w:pict>
          <v:rect style="width:0;height:1.5pt" o:hralign="center" o:hrstd="t" o:hr="t"/>
        </w:pict>
      </w:r>
    </w:p>
    <w:bookmarkStart w:id="25" w:name="methodology"/>
    <w:p>
      <w:pPr>
        <w:pStyle w:val="Heading2"/>
      </w:pPr>
      <w:r>
        <w:t xml:space="preserve">1. Methodology</w:t>
      </w:r>
    </w:p>
    <w:p>
      <w:pPr>
        <w:pStyle w:val="FirstParagraph"/>
      </w:pPr>
      <w:r>
        <w:t xml:space="preserve">The Product Carbon Footprint (PCF) analysis for fsutfvltww follows the five-step approach mandated by the</w:t>
      </w:r>
      <w:r>
        <w:t xml:space="preserve"> </w:t>
      </w:r>
      <w:r>
        <w:t xml:space="preserve">GHG Protocol, ensuring a robust and transparent assessment of GHG emissions across the product\'s lifecycle.</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all inputs and outputs within the defined scope.</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emission hotspots, assess data reliability, and compile the final report.</w:t>
      </w:r>
    </w:p>
    <w:bookmarkStart w:id="24" w:name="ghg-protocol-adherence-and-2026-updates"/>
    <w:p>
      <w:pPr>
        <w:pStyle w:val="Heading3"/>
      </w:pPr>
      <w:r>
        <w:t xml:space="preserve">GHG Protocol Adherence and 2026 Updates:</w:t>
      </w:r>
    </w:p>
    <w:p>
      <w:pPr>
        <w:numPr>
          <w:ilvl w:val="0"/>
          <w:numId w:val="1002"/>
        </w:numPr>
        <w:pStyle w:val="Compact"/>
      </w:pPr>
      <w:r>
        <w:rPr>
          <w:bCs/>
          <w:b/>
        </w:rPr>
        <w:t xml:space="preserve">GHG Protocol:</w:t>
      </w:r>
      <w:r>
        <w:t xml:space="preserve"> </w:t>
      </w:r>
      <w:r>
        <w:t xml:space="preserve">Emissions are categorized into Scope 1 (direct emissions from owned or controlled sources), Scope 2 (indirect emissions from the generation of purchased electricity, steam, heat, or cooling), and Scope 3 (all other indirect emissions that occur in a company’s value chain).</w:t>
      </w:r>
    </w:p>
    <w:p>
      <w:pPr>
        <w:numPr>
          <w:ilvl w:val="0"/>
          <w:numId w:val="1002"/>
        </w:numPr>
        <w:pStyle w:val="Compact"/>
      </w:pPr>
      <w:r>
        <w:rPr>
          <w:bCs/>
          <w:b/>
        </w:rPr>
        <w:t xml:space="preserve">2026 LSR Update:</w:t>
      </w:r>
      <w:r>
        <w:t xml:space="preserve"> </w:t>
      </w:r>
      <w:r>
        <w:t xml:space="preserve">The Land Sector and Removals (LSR) Standard, effective January 1, 2027, is recognized. This report accounts for land use and carbon removals where relevant, separating these from other emissions categories in line with the standard\'s principles, although direct land use change for this specific product\'s materials is assumed to be negligible within the defined factory-gate boundary for primary reporting. The standard focuses on land use change, land management, biogenic products, and CO2 removals.</w:t>
      </w:r>
    </w:p>
    <w:p>
      <w:pPr>
        <w:numPr>
          <w:ilvl w:val="0"/>
          <w:numId w:val="1002"/>
        </w:numPr>
        <w:pStyle w:val="Compact"/>
      </w:pPr>
      <w:r>
        <w:rPr>
          <w:bCs/>
          <w:b/>
        </w:rPr>
        <w:t xml:space="preserve">Scope 3 Compliance:</w:t>
      </w:r>
      <w:r>
        <w:t xml:space="preserve"> </w:t>
      </w:r>
      <w:r>
        <w:t xml:space="preserve">As per proposed 2026 requirements, efforts have been made to ensure at least 95% coverage for Scope 3 reporting, including upstream and downstream activities. This involves disaggregation of data by type (primary vs. secondary) where possible to enhance transparency and comparability.</w:t>
      </w:r>
    </w:p>
    <w:bookmarkEnd w:id="24"/>
    <w:bookmarkEnd w:id="25"/>
    <w:p>
      <w:r>
        <w:pict>
          <v:rect style="width:0;height:1.5pt" o:hralign="center" o:hrstd="t" o:hr="t"/>
        </w:pict>
      </w:r>
    </w:p>
    <w:bookmarkStart w:id="37" w:name="Xa5fc212619045dfc93f2f7546e09f9af836547f"/>
    <w:p>
      <w:pPr>
        <w:pStyle w:val="Heading2"/>
      </w:pPr>
      <w:r>
        <w:t xml:space="preserve">2. Scope Definition &amp; 3. Lifecycle Mapping and Data Collection</w:t>
      </w:r>
    </w:p>
    <w:bookmarkStart w:id="26" w:name="functional-unit"/>
    <w:p>
      <w:pPr>
        <w:pStyle w:val="Heading3"/>
      </w:pPr>
      <w:r>
        <w:t xml:space="preserve">2.1. Functional Unit</w:t>
      </w:r>
    </w:p>
    <w:p>
      <w:pPr>
        <w:pStyle w:val="FirstParagraph"/>
      </w:pPr>
      <w:r>
        <w:t xml:space="preserve">The functional unit for this PCF analysis is</w:t>
      </w:r>
      <w:r>
        <w:t xml:space="preserve"> </w:t>
      </w:r>
      <w:r>
        <w:rPr>
          <w:bCs/>
          <w:b/>
        </w:rPr>
        <w:t xml:space="preserve">1.0 unit</w:t>
      </w:r>
      <w:r>
        <w:t xml:space="preserve"> </w:t>
      </w:r>
      <w:r>
        <w:t xml:space="preserve">of product fsutfvltww.</w:t>
      </w:r>
    </w:p>
    <w:bookmarkEnd w:id="26"/>
    <w:bookmarkStart w:id="27" w:name="system-boundary"/>
    <w:p>
      <w:pPr>
        <w:pStyle w:val="Heading3"/>
      </w:pPr>
      <w:r>
        <w:t xml:space="preserve">2.2. System Boundary</w:t>
      </w:r>
    </w:p>
    <w:p>
      <w:pPr>
        <w:pStyle w:val="FirstParagraph"/>
      </w:pPr>
      <w:r>
        <w:t xml:space="preserve">The primary system boundary for direct emissions and immediately upstream Scope 3 emissions is</w:t>
      </w:r>
      <w:r>
        <w:t xml:space="preserve"> </w:t>
      </w:r>
      <w:r>
        <w:rPr>
          <w:bCs/>
          <w:b/>
        </w:rPr>
        <w:t xml:space="preserve">factory_gate</w:t>
      </w:r>
      <w:r>
        <w:t xml:space="preserve">.</w:t>
      </w:r>
      <w:r>
        <w:t xml:space="preserve"> </w:t>
      </w:r>
      <w:r>
        <w:t xml:space="preserve">However, to provide a comprehensive product lifecycle perspective as per GHG Protocol Scope 3 guidance and client requirements,</w:t>
      </w:r>
      <w:r>
        <w:t xml:space="preserve"> </w:t>
      </w:r>
      <w:r>
        <w:t xml:space="preserve">downstream Scope 3 emissions related to the Use Phase and End-of-Life (EoL) scenarios have also been analyzed and quantified</w:t>
      </w:r>
      <w:r>
        <w:t xml:space="preserve"> </w:t>
      </w:r>
      <w:r>
        <w:t xml:space="preserve">separately. This approach ensures a holistic view of the product\'s environmental impact while maintaining clarity on the</w:t>
      </w:r>
      <w:r>
        <w:t xml:space="preserve"> </w:t>
      </w:r>
      <w:r>
        <w:t xml:space="preserve">direct production boundary.</w:t>
      </w:r>
    </w:p>
    <w:bookmarkEnd w:id="27"/>
    <w:bookmarkStart w:id="28"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markets and downstream activities in Europe)</w:t>
      </w:r>
    </w:p>
    <w:bookmarkEnd w:id="28"/>
    <w:bookmarkStart w:id="29" w:name="accounting-standard"/>
    <w:p>
      <w:pPr>
        <w:pStyle w:val="Heading3"/>
      </w:pPr>
      <w:r>
        <w:t xml:space="preserve">2.4. Accounting Standard</w:t>
      </w:r>
    </w:p>
    <w:p>
      <w:pPr>
        <w:pStyle w:val="FirstParagraph"/>
      </w:pPr>
      <w:r>
        <w:rPr>
          <w:bCs/>
          <w:b/>
        </w:rPr>
        <w:t xml:space="preserve">GHG Protocol</w:t>
      </w:r>
      <w:r>
        <w:t xml:space="preserve"> </w:t>
      </w:r>
      <w:r>
        <w:t xml:space="preserve">(Corporate Standard, Scope 3 Standard, and principles of 2026 LSR Standard and Scope 3 Revisions).</w:t>
      </w:r>
    </w:p>
    <w:bookmarkEnd w:id="29"/>
    <w:bookmarkStart w:id="30" w:name="allocation"/>
    <w:p>
      <w:pPr>
        <w:pStyle w:val="Heading3"/>
      </w:pPr>
      <w:r>
        <w:t xml:space="preserve">2.5. Allocation</w:t>
      </w:r>
    </w:p>
    <w:p>
      <w:pPr>
        <w:pStyle w:val="FirstParagraph"/>
      </w:pPr>
      <w:r>
        <w:t xml:space="preserve">Emissions are allocated entirely to the product fsutfvltww as it is considered the sole product from the defined processes.</w:t>
      </w:r>
    </w:p>
    <w:bookmarkEnd w:id="30"/>
    <w:bookmarkStart w:id="36" w:name="life-cycle-stages-and-data-collection"/>
    <w:p>
      <w:pPr>
        <w:pStyle w:val="Heading3"/>
      </w:pPr>
      <w:r>
        <w:t xml:space="preserve">3.1. Life Cycle Stages and Data Collection</w:t>
      </w:r>
    </w:p>
    <w:p>
      <w:pPr>
        <w:pStyle w:val="FirstParagraph"/>
      </w:pPr>
      <w:r>
        <w:t xml:space="preserve">The following life cycle stages were mapped, and data was collected based on provided parameters and industry averages:</w:t>
      </w:r>
    </w:p>
    <w:bookmarkStart w:id="31" w:name="Xa124a95b981c370289279a4b723120ad8e79cc2"/>
    <w:p>
      <w:pPr>
        <w:pStyle w:val="Heading4"/>
      </w:pPr>
      <w:r>
        <w:t xml:space="preserve">3.1.1. Materials Acquisition &amp; Pre-processing (Scope 3 - Upstream)</w:t>
      </w:r>
    </w:p>
    <w:p>
      <w:pPr>
        <w:pStyle w:val="FirstParagraph"/>
      </w:pPr>
      <w:r>
        <w:t xml:space="preserve">The Detailed Bill of Materials (BOM) for flhniqqq was used for high-accuracy material impact calculation.</w:t>
      </w:r>
      <w:r>
        <w:t xml:space="preserve"> </w:t>
      </w:r>
      <w:r>
        <w:t xml:space="preserve">Since \'flhniqqq\' was provided as a generic placeholder, the following example BOM data (consistent with the specified format)</w:t>
      </w:r>
      <w:r>
        <w:t xml:space="preserve"> </w:t>
      </w:r>
      <w:r>
        <w:t xml:space="preserve">has been used for illustration and calculation in this report. In a real scenario, actual detailed BOM data would be applied.</w:t>
      </w:r>
      <w:r>
        <w:t xml:space="preserve"> </w:t>
      </w:r>
      <w:r>
        <w:t xml:space="preserve">Emission factors for primary production of these materials are based on industry-standard databases (e.g., Ecoinvent/DEFRA equivalents).</w:t>
      </w:r>
    </w:p>
    <w:p>
      <w:pPr>
        <w:pStyle w:val="BodyText"/>
      </w:pPr>
      <w:r>
        <w:rPr>
          <w:bCs/>
          <w:b/>
        </w:rPr>
        <w:t xml:space="preserve">Detailed Bill of Materials (Example based on \'flhniqqq\'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1.700</w:t>
            </w:r>
          </w:p>
        </w:tc>
      </w:tr>
      <w:tr>
        <w:tc>
          <w:tcPr/>
          <w:p>
            <w:pPr>
              <w:pStyle w:val="Compact"/>
              <w:jc w:val="left"/>
            </w:pPr>
            <w:r>
              <w:t xml:space="preserve">2</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1.100</w:t>
            </w:r>
          </w:p>
        </w:tc>
      </w:tr>
      <w:tr>
        <w:tc>
          <w:tcPr/>
          <w:p>
            <w:pPr>
              <w:pStyle w:val="Compact"/>
              <w:jc w:val="left"/>
            </w:pPr>
            <w:r>
              <w:t xml:space="preserve">3</w:t>
            </w:r>
          </w:p>
        </w:tc>
        <w:tc>
          <w:tcPr/>
          <w:p>
            <w:pPr>
              <w:pStyle w:val="Compact"/>
              <w:jc w:val="left"/>
            </w:pPr>
            <w:r>
              <w:t xml:space="preserve">HDPE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1.9</w:t>
            </w:r>
          </w:p>
        </w:tc>
        <w:tc>
          <w:tcPr/>
          <w:p>
            <w:pPr>
              <w:pStyle w:val="Compact"/>
              <w:jc w:val="left"/>
            </w:pPr>
            <w:r>
              <w:t xml:space="preserve">0.285</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0.015</w:t>
            </w:r>
          </w:p>
        </w:tc>
      </w:tr>
      <w:tr>
        <w:tc>
          <w:tcPr>
            <w:gridSpan w:val="7"/>
          </w:tcPr>
          <w:p>
            <w:pPr>
              <w:pStyle w:val="Compact"/>
              <w:jc w:val="right"/>
            </w:pPr>
            <w:r>
              <w:t xml:space="preserve">Total Material Carbon Footprint:</w:t>
            </w:r>
          </w:p>
        </w:tc>
        <w:tc>
          <w:tcPr/>
          <w:p>
            <w:pPr>
              <w:pStyle w:val="Compact"/>
              <w:jc w:val="left"/>
            </w:pPr>
            <w:r>
              <w:t xml:space="preserve">5.950 kgCO2e</w:t>
            </w:r>
          </w:p>
        </w:tc>
      </w:tr>
    </w:tbl>
    <w:bookmarkEnd w:id="31"/>
    <w:bookmarkStart w:id="32" w:name="manufacturing-production-scope-1-2"/>
    <w:p>
      <w:pPr>
        <w:pStyle w:val="Heading4"/>
      </w:pPr>
      <w:r>
        <w:t xml:space="preserve">3.1.2. Manufacturing / Production (Scope 1 &amp; 2)</w:t>
      </w:r>
    </w:p>
    <w:p>
      <w:pPr>
        <w:numPr>
          <w:ilvl w:val="0"/>
          <w:numId w:val="1004"/>
        </w:numPr>
        <w:pStyle w:val="Compact"/>
      </w:pPr>
      <w:r>
        <w:rPr>
          <w:bCs/>
          <w:b/>
        </w:rPr>
        <w:t xml:space="preserve">Energy Intensity (kWh/unit):</w:t>
      </w:r>
      <w:r>
        <w:t xml:space="preserve"> </w:t>
      </w:r>
      <w:r>
        <w:t xml:space="preserve">elepeylylt (e.g., 0.8 kWh/unit)</w:t>
      </w:r>
    </w:p>
    <w:p>
      <w:pPr>
        <w:numPr>
          <w:ilvl w:val="0"/>
          <w:numId w:val="1004"/>
        </w:numPr>
        <w:pStyle w:val="Compact"/>
      </w:pPr>
      <w:r>
        <w:rPr>
          <w:bCs/>
          <w:b/>
        </w:rPr>
        <w:t xml:space="preserve">Renewable Energy Usage:</w:t>
      </w:r>
      <w:r>
        <w:t xml:space="preserve"> </w:t>
      </w:r>
      <w:r>
        <w:t xml:space="preserve">pzoyueyowv (e.g., 50%)</w:t>
      </w:r>
    </w:p>
    <w:p>
      <w:pPr>
        <w:numPr>
          <w:ilvl w:val="0"/>
          <w:numId w:val="1004"/>
        </w:numPr>
        <w:pStyle w:val="Compact"/>
      </w:pPr>
      <w:r>
        <w:rPr>
          <w:bCs/>
          <w:b/>
        </w:rPr>
        <w:t xml:space="preserve">Non-Renewable Energy Usage:</w:t>
      </w:r>
      <w:r>
        <w:t xml:space="preserve"> </w:t>
      </w:r>
      <w:r>
        <w:t xml:space="preserve">100% - pzoyueyowv = 50%</w:t>
      </w:r>
    </w:p>
    <w:p>
      <w:pPr>
        <w:numPr>
          <w:ilvl w:val="0"/>
          <w:numId w:val="1004"/>
        </w:numPr>
        <w:pStyle w:val="Compact"/>
      </w:pPr>
      <w:r>
        <w:rPr>
          <w:bCs/>
          <w:b/>
        </w:rPr>
        <w:t xml:space="preserve">Electricity Emission Factor (China Grid Mix):</w:t>
      </w:r>
      <w:r>
        <w:t xml:space="preserve"> </w:t>
      </w:r>
      <w:r>
        <w:t xml:space="preserve">0.581 kgCO2e/kWh</w:t>
      </w:r>
    </w:p>
    <w:p>
      <w:pPr>
        <w:numPr>
          <w:ilvl w:val="0"/>
          <w:numId w:val="1004"/>
        </w:numPr>
        <w:pStyle w:val="Compact"/>
      </w:pPr>
      <w:r>
        <w:rPr>
          <w:bCs/>
          <w:b/>
        </w:rPr>
        <w:t xml:space="preserve">Direct Emissions (Scope 1):</w:t>
      </w:r>
      <w:r>
        <w:t xml:space="preserve"> </w:t>
      </w:r>
      <w:r>
        <w:t xml:space="preserve">Assumed negligible for direct combustion at factory, primarily focusing on purchased electricity. If any, these would be included here.</w:t>
      </w:r>
    </w:p>
    <w:bookmarkEnd w:id="32"/>
    <w:bookmarkStart w:id="33" w:name="X981923b8cb60f0edee598a5efe02199461582eb"/>
    <w:p>
      <w:pPr>
        <w:pStyle w:val="Heading4"/>
      </w:pPr>
      <w:r>
        <w:t xml:space="preserve">3.1.3. Transportation (Scope 3 - Upstream &amp; Downstream)</w:t>
      </w:r>
    </w:p>
    <w:p>
      <w:pPr>
        <w:numPr>
          <w:ilvl w:val="0"/>
          <w:numId w:val="1005"/>
        </w:numPr>
        <w:pStyle w:val="Compact"/>
      </w:pPr>
      <w:r>
        <w:rPr>
          <w:bCs/>
          <w:b/>
        </w:rPr>
        <w:t xml:space="preserve">Inbound Transport (Materials to Factory, China):</w:t>
      </w:r>
      <w:r>
        <w:t xml:space="preserve"> </w:t>
      </w:r>
      <w:r>
        <w:t xml:space="preserve">Assumed to be covered within the \'Total Carbon\' values of the BOM, or minor enough not to be a major hotspot compared to international shipping and material production. For a more granular analysis, this would require detailed supplier locations.</w:t>
      </w:r>
    </w:p>
    <w:p>
      <w:pPr>
        <w:numPr>
          <w:ilvl w:val="0"/>
          <w:numId w:val="1005"/>
        </w:numPr>
        <w:pStyle w:val="Compact"/>
      </w:pPr>
      <w:r>
        <w:rPr>
          <w:bCs/>
          <w:b/>
        </w:rPr>
        <w:t xml:space="preserve">Outbound Transport (from Factory in China to Main European Hub):</w:t>
      </w:r>
    </w:p>
    <w:p>
      <w:pPr>
        <w:numPr>
          <w:ilvl w:val="1"/>
          <w:numId w:val="1006"/>
        </w:numPr>
        <w:pStyle w:val="Compact"/>
      </w:pPr>
      <w:r>
        <w:rPr>
          <w:bCs/>
          <w:b/>
        </w:rPr>
        <w:t xml:space="preserve">Mode:</w:t>
      </w:r>
      <w:r>
        <w:t xml:space="preserve"> </w:t>
      </w:r>
      <w:r>
        <w:t xml:space="preserve">Select Mode (e.g., Ocean Freight - Container Ship)</w:t>
      </w:r>
    </w:p>
    <w:p>
      <w:pPr>
        <w:numPr>
          <w:ilvl w:val="1"/>
          <w:numId w:val="1006"/>
        </w:numPr>
        <w:pStyle w:val="Compact"/>
      </w:pPr>
      <w:r>
        <w:rPr>
          <w:bCs/>
          <w:b/>
        </w:rPr>
        <w:t xml:space="preserve">Distance:</w:t>
      </w:r>
      <w:r>
        <w:t xml:space="preserve"> </w:t>
      </w:r>
      <w:r>
        <w:t xml:space="preserve">nrndejjprl (e.g., 12000 km)</w:t>
      </w:r>
    </w:p>
    <w:p>
      <w:pPr>
        <w:numPr>
          <w:ilvl w:val="1"/>
          <w:numId w:val="1006"/>
        </w:numPr>
        <w:pStyle w:val="Compact"/>
      </w:pPr>
      <w:r>
        <w:rPr>
          <w:bCs/>
          <w:b/>
        </w:rPr>
        <w:t xml:space="preserve">Emission Factor (Ocean Freight):</w:t>
      </w:r>
      <w:r>
        <w:t xml:space="preserve"> </w:t>
      </w:r>
      <w:r>
        <w:t xml:space="preserve">0.010 kgCO2e/tonne-km (estimated industry average)</w:t>
      </w:r>
    </w:p>
    <w:p>
      <w:pPr>
        <w:numPr>
          <w:ilvl w:val="1"/>
          <w:numId w:val="1006"/>
        </w:numPr>
        <w:pStyle w:val="Compact"/>
      </w:pPr>
      <w:r>
        <w:rPr>
          <w:bCs/>
          <w:b/>
        </w:rPr>
        <w:t xml:space="preserve">Product Weight:</w:t>
      </w:r>
      <w:r>
        <w:t xml:space="preserve"> </w:t>
      </w:r>
      <w:r>
        <w:t xml:space="preserve">(Sum of Qty from BOM) + packaging = 0.2 + 0.5 + 0.15 + 0.05 + 0.08 + 0.03 = 1.01 kg</w:t>
      </w:r>
    </w:p>
    <w:p>
      <w:pPr>
        <w:numPr>
          <w:ilvl w:val="0"/>
          <w:numId w:val="1005"/>
        </w:numPr>
        <w:pStyle w:val="Compact"/>
      </w:pPr>
      <w:r>
        <w:rPr>
          <w:bCs/>
          <w:b/>
        </w:rPr>
        <w:t xml:space="preserve">Last-Mile Delivery (from European Hub to End-User):</w:t>
      </w:r>
    </w:p>
    <w:p>
      <w:pPr>
        <w:numPr>
          <w:ilvl w:val="1"/>
          <w:numId w:val="1007"/>
        </w:numPr>
        <w:pStyle w:val="Compact"/>
      </w:pPr>
      <w:r>
        <w:rPr>
          <w:bCs/>
          <w:b/>
        </w:rPr>
        <w:t xml:space="preserve">Channel:</w:t>
      </w:r>
      <w:r>
        <w:t xml:space="preserve"> </w:t>
      </w:r>
      <w:r>
        <w:t xml:space="preserve">Delivery Type (e.g., Urban Van Delivery, Europe)</w:t>
      </w:r>
    </w:p>
    <w:p>
      <w:pPr>
        <w:numPr>
          <w:ilvl w:val="1"/>
          <w:numId w:val="1007"/>
        </w:numPr>
        <w:pStyle w:val="Compact"/>
      </w:pPr>
      <w:r>
        <w:rPr>
          <w:bCs/>
          <w:b/>
        </w:rPr>
        <w:t xml:space="preserve">Assumed Distance:</w:t>
      </w:r>
      <w:r>
        <w:t xml:space="preserve"> </w:t>
      </w:r>
      <w:r>
        <w:t xml:space="preserve">500 km (average last-mile distribution distance)</w:t>
      </w:r>
    </w:p>
    <w:p>
      <w:pPr>
        <w:numPr>
          <w:ilvl w:val="1"/>
          <w:numId w:val="1007"/>
        </w:numPr>
        <w:pStyle w:val="Compact"/>
      </w:pPr>
      <w:r>
        <w:rPr>
          <w:bCs/>
          <w:b/>
        </w:rPr>
        <w:t xml:space="preserve">Emission Factor (Urban Van Delivery, Europe):</w:t>
      </w:r>
      <w:r>
        <w:t xml:space="preserve"> </w:t>
      </w:r>
      <w:r>
        <w:t xml:space="preserve">0.200 kgCO2e/tonne-km (estimated for light commercial vehicle)</w:t>
      </w:r>
    </w:p>
    <w:p>
      <w:pPr>
        <w:numPr>
          <w:ilvl w:val="1"/>
          <w:numId w:val="1007"/>
        </w:numPr>
        <w:pStyle w:val="Compact"/>
      </w:pPr>
      <w:r>
        <w:rPr>
          <w:bCs/>
          <w:b/>
        </w:rPr>
        <w:t xml:space="preserve">Product Weight:</w:t>
      </w:r>
      <w:r>
        <w:t xml:space="preserve"> </w:t>
      </w:r>
      <w:r>
        <w:t xml:space="preserve">1.01 kg</w:t>
      </w:r>
    </w:p>
    <w:bookmarkEnd w:id="33"/>
    <w:bookmarkStart w:id="34" w:name="use-phase-scope-3---downstream"/>
    <w:p>
      <w:pPr>
        <w:pStyle w:val="Heading4"/>
      </w:pPr>
      <w:r>
        <w:t xml:space="preserve">3.1.4. Use Phase (Scope 3 - Downstream)</w:t>
      </w:r>
    </w:p>
    <w:p>
      <w:pPr>
        <w:numPr>
          <w:ilvl w:val="0"/>
          <w:numId w:val="1008"/>
        </w:numPr>
        <w:pStyle w:val="Compact"/>
      </w:pPr>
      <w:r>
        <w:rPr>
          <w:bCs/>
          <w:b/>
        </w:rPr>
        <w:t xml:space="preserve">Product Lifespan:</w:t>
      </w:r>
      <w:r>
        <w:t xml:space="preserve"> </w:t>
      </w:r>
      <w:r>
        <w:t xml:space="preserve">pxekotgorv (e.g., 5 years)</w:t>
      </w:r>
    </w:p>
    <w:p>
      <w:pPr>
        <w:numPr>
          <w:ilvl w:val="0"/>
          <w:numId w:val="1008"/>
        </w:numPr>
        <w:pStyle w:val="Compact"/>
      </w:pPr>
      <w:r>
        <w:rPr>
          <w:bCs/>
          <w:b/>
        </w:rPr>
        <w:t xml:space="preserve">Energy Consumption in Use:</w:t>
      </w:r>
      <w:r>
        <w:t xml:space="preserve"> </w:t>
      </w:r>
      <w:r>
        <w:t xml:space="preserve">ivwpedlmdp (e.g., 10 kWh/year)</w:t>
      </w:r>
    </w:p>
    <w:p>
      <w:pPr>
        <w:numPr>
          <w:ilvl w:val="0"/>
          <w:numId w:val="1008"/>
        </w:numPr>
        <w:pStyle w:val="Compact"/>
      </w:pPr>
      <w:r>
        <w:rPr>
          <w:bCs/>
          <w:b/>
        </w:rPr>
        <w:t xml:space="preserve">Total Energy Consumption over Lifespan:</w:t>
      </w:r>
      <w:r>
        <w:t xml:space="preserve"> </w:t>
      </w:r>
      <w:r>
        <w:t xml:space="preserve">(ivwpedlmdp × pxekotgorv) = 10 kWh/year * 5 years = 50 kWh</w:t>
      </w:r>
    </w:p>
    <w:p>
      <w:pPr>
        <w:numPr>
          <w:ilvl w:val="0"/>
          <w:numId w:val="1008"/>
        </w:numPr>
        <w:pStyle w:val="Compact"/>
      </w:pPr>
      <w:r>
        <w:rPr>
          <w:bCs/>
          <w:b/>
        </w:rPr>
        <w:t xml:space="preserve">Electricity Emission Factor (European Grid Mix):</w:t>
      </w:r>
      <w:r>
        <w:t xml:space="preserve"> </w:t>
      </w:r>
      <w:r>
        <w:t xml:space="preserve">0.181 kgCO2e/kWh (2024 average)</w:t>
      </w:r>
    </w:p>
    <w:bookmarkEnd w:id="34"/>
    <w:bookmarkStart w:id="35" w:name="end-of-life-eol-scope-3---downstream"/>
    <w:p>
      <w:pPr>
        <w:pStyle w:val="Heading4"/>
      </w:pPr>
      <w:r>
        <w:t xml:space="preserve">3.1.5. End-of-Life (EoL) (Scope 3 - Downstream)</w:t>
      </w:r>
    </w:p>
    <w:p>
      <w:pPr>
        <w:numPr>
          <w:ilvl w:val="0"/>
          <w:numId w:val="1009"/>
        </w:numPr>
        <w:pStyle w:val="Compact"/>
      </w:pPr>
      <w:r>
        <w:rPr>
          <w:bCs/>
          <w:b/>
        </w:rPr>
        <w:t xml:space="preserve">Recyclability Percentage:</w:t>
      </w:r>
      <w:r>
        <w:t xml:space="preserve"> </w:t>
      </w:r>
      <w:r>
        <w:t xml:space="preserve">vtqrekfere (e.g., 70%)</w:t>
      </w:r>
    </w:p>
    <w:p>
      <w:pPr>
        <w:numPr>
          <w:ilvl w:val="0"/>
          <w:numId w:val="1009"/>
        </w:numPr>
        <w:pStyle w:val="Compact"/>
      </w:pPr>
      <w:r>
        <w:rPr>
          <w:bCs/>
          <w:b/>
        </w:rPr>
        <w:t xml:space="preserve">Circular/Take-back Programs:</w:t>
      </w:r>
      <w:r>
        <w:t xml:space="preserve"> </w:t>
      </w:r>
      <w:r>
        <w:t xml:space="preserve">fprhmhvuwl (e.g., Yes)</w:t>
      </w:r>
    </w:p>
    <w:p>
      <w:pPr>
        <w:numPr>
          <w:ilvl w:val="0"/>
          <w:numId w:val="1009"/>
        </w:numPr>
        <w:pStyle w:val="Compact"/>
      </w:pPr>
      <w:r>
        <w:rPr>
          <w:bCs/>
          <w:b/>
        </w:rPr>
        <w:t xml:space="preserve">Material Weight for Recycling Credit:</w:t>
      </w:r>
      <w:r>
        <w:t xml:space="preserve"> </w:t>
      </w:r>
      <w:r>
        <w:t xml:space="preserve">70% of total product weight (excluding electronics/batteries which have complex recycling processes that may incur net burden or specific processing EFs, and for simplicity, only applying to the main material components with clear RERFs).</w:t>
      </w:r>
      <w:r>
        <w:t xml:space="preserve"> </w:t>
      </w:r>
      <w:r>
        <w:t xml:space="preserve">* Recyclable materials from BOM (excluding electronics/battery for direct RERF application): Aluminum Casing (0.2 kg), Steel Frame (0.5 kg), HDPE Housing (0.15 kg), Cardboard Packaging (0.03 kg). Total = 0.88 kg.</w:t>
      </w:r>
      <w:r>
        <w:t xml:space="preserve"> </w:t>
      </w:r>
      <w:r>
        <w:t xml:space="preserve">* Recycled portion: 0.88 kg * 0.70 = 0.616 kg</w:t>
      </w:r>
    </w:p>
    <w:p>
      <w:pPr>
        <w:numPr>
          <w:ilvl w:val="0"/>
          <w:numId w:val="1009"/>
        </w:numPr>
        <w:pStyle w:val="Compact"/>
      </w:pPr>
      <w:r>
        <w:rPr>
          <w:bCs/>
          <w:b/>
        </w:rPr>
        <w:t xml:space="preserve">Avoided Emission Factors (Recycling):</w:t>
      </w:r>
    </w:p>
    <w:p>
      <w:pPr>
        <w:numPr>
          <w:ilvl w:val="1"/>
          <w:numId w:val="1010"/>
        </w:numPr>
        <w:pStyle w:val="Compact"/>
      </w:pPr>
      <w:r>
        <w:t xml:space="preserve">Aluminum: 0.0129 kgCO2e/kg</w:t>
      </w:r>
    </w:p>
    <w:p>
      <w:pPr>
        <w:numPr>
          <w:ilvl w:val="1"/>
          <w:numId w:val="1010"/>
        </w:numPr>
        <w:pStyle w:val="Compact"/>
      </w:pPr>
      <w:r>
        <w:t xml:space="preserve">Steel: 0.0015 kgCO2e/kg</w:t>
      </w:r>
    </w:p>
    <w:p>
      <w:pPr>
        <w:numPr>
          <w:ilvl w:val="1"/>
          <w:numId w:val="1010"/>
        </w:numPr>
        <w:pStyle w:val="Compact"/>
      </w:pPr>
      <w:r>
        <w:t xml:space="preserve">HDPE: 0.0008 kgCO2e/kg</w:t>
      </w:r>
    </w:p>
    <w:p>
      <w:pPr>
        <w:numPr>
          <w:ilvl w:val="1"/>
          <w:numId w:val="1010"/>
        </w:numPr>
        <w:pStyle w:val="Compact"/>
      </w:pPr>
      <w:r>
        <w:t xml:space="preserve">Cardboard: 0.005 kgCO2e/kg</w:t>
      </w:r>
    </w:p>
    <w:p>
      <w:pPr>
        <w:numPr>
          <w:ilvl w:val="0"/>
          <w:numId w:val="1009"/>
        </w:numPr>
        <w:pStyle w:val="Compact"/>
      </w:pPr>
      <w:r>
        <w:rPr>
          <w:bCs/>
          <w:b/>
        </w:rPr>
        <w:t xml:space="preserve">Disposal Burden:</w:t>
      </w:r>
      <w:r>
        <w:t xml:space="preserve"> </w:t>
      </w:r>
      <w:r>
        <w:t xml:space="preserve">For non-recycled portion and complex components, a simplified EoL burden is assumed (e.g., landfilling, incineration). Without specific EoL processing data for electronics, a conservative approach might assume no credit or a small burden. For this report, for simplicity, we focus on avoided emissions from the recyclable percentage of the main materials.</w:t>
      </w:r>
    </w:p>
    <w:bookmarkEnd w:id="35"/>
    <w:bookmarkEnd w:id="36"/>
    <w:bookmarkEnd w:id="37"/>
    <w:p>
      <w:r>
        <w:pict>
          <v:rect style="width:0;height:1.5pt" o:hralign="center" o:hrstd="t" o:hr="t"/>
        </w:pict>
      </w:r>
    </w:p>
    <w:bookmarkStart w:id="48" w:name="emissions-calculation"/>
    <w:p>
      <w:pPr>
        <w:pStyle w:val="Heading2"/>
      </w:pPr>
      <w:r>
        <w:t xml:space="preserve">4. Emissions Calculation</w:t>
      </w:r>
    </w:p>
    <w:bookmarkStart w:id="38" w:name="X4680f8afc8240cbfeeb10b5c91f6293ef30cb5f"/>
    <w:p>
      <w:pPr>
        <w:pStyle w:val="Heading3"/>
      </w:pPr>
      <w:r>
        <w:t xml:space="preserve">4.1. Materials Acquisition &amp; Pre-processing (Scope 3, Category 1)</w:t>
      </w:r>
    </w:p>
    <w:p>
      <w:pPr>
        <w:pStyle w:val="FirstParagraph"/>
      </w:pPr>
      <w:r>
        <w:t xml:space="preserve">Total carbon from BOM (example data):</w:t>
      </w:r>
      <w:r>
        <w:t xml:space="preserve"> </w:t>
      </w:r>
      <w:r>
        <w:rPr>
          <w:bCs/>
          <w:b/>
        </w:rPr>
        <w:t xml:space="preserve">5.950 kgCO2e</w:t>
      </w:r>
    </w:p>
    <w:bookmarkEnd w:id="38"/>
    <w:bookmarkStart w:id="39" w:name="manufacturing-production-scope-1-2-1"/>
    <w:p>
      <w:pPr>
        <w:pStyle w:val="Heading3"/>
      </w:pPr>
      <w:r>
        <w:t xml:space="preserve">4.2. Manufacturing / Production (Scope 1 &amp; 2)</w:t>
      </w:r>
    </w:p>
    <w:p>
      <w:pPr>
        <w:numPr>
          <w:ilvl w:val="0"/>
          <w:numId w:val="1011"/>
        </w:numPr>
        <w:pStyle w:val="Compact"/>
      </w:pPr>
      <w:r>
        <w:t xml:space="preserve">Total energy required: 0.8 kWh/unit</w:t>
      </w:r>
    </w:p>
    <w:p>
      <w:pPr>
        <w:numPr>
          <w:ilvl w:val="0"/>
          <w:numId w:val="1011"/>
        </w:numPr>
        <w:pStyle w:val="Compact"/>
      </w:pPr>
      <w:r>
        <w:t xml:space="preserve">Renewable energy proportion: 50%</w:t>
      </w:r>
    </w:p>
    <w:p>
      <w:pPr>
        <w:numPr>
          <w:ilvl w:val="0"/>
          <w:numId w:val="1011"/>
        </w:numPr>
        <w:pStyle w:val="Compact"/>
      </w:pPr>
      <w:r>
        <w:t xml:space="preserve">Non-renewable energy proportion: 50%</w:t>
      </w:r>
    </w:p>
    <w:p>
      <w:pPr>
        <w:numPr>
          <w:ilvl w:val="0"/>
          <w:numId w:val="1011"/>
        </w:numPr>
        <w:pStyle w:val="Compact"/>
      </w:pPr>
      <w:r>
        <w:t xml:space="preserve">Non-renewable energy consumed: 0.8 kWh/unit * 0.50 = 0.4 kWh/unit</w:t>
      </w:r>
    </w:p>
    <w:p>
      <w:pPr>
        <w:numPr>
          <w:ilvl w:val="0"/>
          <w:numId w:val="1011"/>
        </w:numPr>
        <w:pStyle w:val="Compact"/>
      </w:pPr>
      <w:r>
        <w:t xml:space="preserve">Emissions from purchased electricity (Scope 2): 0.4 kWh/unit * 0.581 kgCO2e/kWh =</w:t>
      </w:r>
      <w:r>
        <w:t xml:space="preserve"> </w:t>
      </w:r>
      <w:r>
        <w:rPr>
          <w:bCs/>
          <w:b/>
        </w:rPr>
        <w:t xml:space="preserve">0.232 kgCO2e</w:t>
      </w:r>
    </w:p>
    <w:p>
      <w:pPr>
        <w:numPr>
          <w:ilvl w:val="0"/>
          <w:numId w:val="1011"/>
        </w:numPr>
        <w:pStyle w:val="Compact"/>
      </w:pPr>
      <w:r>
        <w:t xml:space="preserve">Direct emissions (Scope 1): Assumed negligible for this product.</w:t>
      </w:r>
    </w:p>
    <w:p>
      <w:pPr>
        <w:pStyle w:val="FirstParagraph"/>
      </w:pPr>
      <w:r>
        <w:t xml:space="preserve">Total Production Emissions:</w:t>
      </w:r>
      <w:r>
        <w:t xml:space="preserve"> </w:t>
      </w:r>
      <w:r>
        <w:rPr>
          <w:bCs/>
          <w:b/>
        </w:rPr>
        <w:t xml:space="preserve">0.232 kgCO2e</w:t>
      </w:r>
      <w:r>
        <w:t xml:space="preserve"> </w:t>
      </w:r>
      <w:r>
        <w:t xml:space="preserve">(Scope 2)</w:t>
      </w:r>
    </w:p>
    <w:bookmarkEnd w:id="39"/>
    <w:bookmarkStart w:id="42" w:name="transportation-scope-3-categories-4-9"/>
    <w:p>
      <w:pPr>
        <w:pStyle w:val="Heading3"/>
      </w:pPr>
      <w:r>
        <w:t xml:space="preserve">4.3. Transportation (Scope 3, Categories 4 &amp; 9)</w:t>
      </w:r>
    </w:p>
    <w:bookmarkStart w:id="40" w:name="X25c4790160854ca94ce08f7f0ac118a104cf255"/>
    <w:p>
      <w:pPr>
        <w:pStyle w:val="Heading4"/>
      </w:pPr>
      <w:r>
        <w:t xml:space="preserve">4.3.1. Outbound Transport (Factory in China to European Hub)</w:t>
      </w:r>
    </w:p>
    <w:p>
      <w:pPr>
        <w:numPr>
          <w:ilvl w:val="0"/>
          <w:numId w:val="1012"/>
        </w:numPr>
        <w:pStyle w:val="Compact"/>
      </w:pPr>
      <w:r>
        <w:t xml:space="preserve">Product Weight: 1.01 kg = 0.00101 tonnes</w:t>
      </w:r>
    </w:p>
    <w:p>
      <w:pPr>
        <w:numPr>
          <w:ilvl w:val="0"/>
          <w:numId w:val="1012"/>
        </w:numPr>
        <w:pStyle w:val="Compact"/>
      </w:pPr>
      <w:r>
        <w:t xml:space="preserve">Distance: 12000 km</w:t>
      </w:r>
    </w:p>
    <w:p>
      <w:pPr>
        <w:numPr>
          <w:ilvl w:val="0"/>
          <w:numId w:val="1012"/>
        </w:numPr>
        <w:pStyle w:val="Compact"/>
      </w:pPr>
      <w:r>
        <w:t xml:space="preserve">Transport Mode: Ocean Freight (Container Ship)</w:t>
      </w:r>
    </w:p>
    <w:p>
      <w:pPr>
        <w:numPr>
          <w:ilvl w:val="0"/>
          <w:numId w:val="1012"/>
        </w:numPr>
        <w:pStyle w:val="Compact"/>
      </w:pPr>
      <w:r>
        <w:t xml:space="preserve">Emissions: 0.00101 tonnes * 12000 km * 0.010 kgCO2e/tonne-km =</w:t>
      </w:r>
      <w:r>
        <w:t xml:space="preserve"> </w:t>
      </w:r>
      <w:r>
        <w:rPr>
          <w:bCs/>
          <w:b/>
        </w:rPr>
        <w:t xml:space="preserve">0.121 kgCO2e</w:t>
      </w:r>
    </w:p>
    <w:bookmarkEnd w:id="40"/>
    <w:bookmarkStart w:id="41" w:name="X9104500b8593ccbf6651eca217497fbfd857790"/>
    <w:p>
      <w:pPr>
        <w:pStyle w:val="Heading4"/>
      </w:pPr>
      <w:r>
        <w:t xml:space="preserve">4.3.2. Last-Mile Delivery (European Hub to End-User)</w:t>
      </w:r>
    </w:p>
    <w:p>
      <w:pPr>
        <w:numPr>
          <w:ilvl w:val="0"/>
          <w:numId w:val="1013"/>
        </w:numPr>
        <w:pStyle w:val="Compact"/>
      </w:pPr>
      <w:r>
        <w:t xml:space="preserve">Product Weight: 1.01 kg = 0.00101 tonnes</w:t>
      </w:r>
    </w:p>
    <w:p>
      <w:pPr>
        <w:numPr>
          <w:ilvl w:val="0"/>
          <w:numId w:val="1013"/>
        </w:numPr>
        <w:pStyle w:val="Compact"/>
      </w:pPr>
      <w:r>
        <w:t xml:space="preserve">Distance: 500 km</w:t>
      </w:r>
    </w:p>
    <w:p>
      <w:pPr>
        <w:numPr>
          <w:ilvl w:val="0"/>
          <w:numId w:val="1013"/>
        </w:numPr>
        <w:pStyle w:val="Compact"/>
      </w:pPr>
      <w:r>
        <w:t xml:space="preserve">Transport Mode: Urban Van Delivery (Europe)</w:t>
      </w:r>
    </w:p>
    <w:p>
      <w:pPr>
        <w:numPr>
          <w:ilvl w:val="0"/>
          <w:numId w:val="1013"/>
        </w:numPr>
        <w:pStyle w:val="Compact"/>
      </w:pPr>
      <w:r>
        <w:t xml:space="preserve">Emissions: 0.00101 tonnes * 500 km * 0.200 kgCO2e/tonne-km =</w:t>
      </w:r>
      <w:r>
        <w:t xml:space="preserve"> </w:t>
      </w:r>
      <w:r>
        <w:rPr>
          <w:bCs/>
          <w:b/>
        </w:rPr>
        <w:t xml:space="preserve">0.101 kgCO2e</w:t>
      </w:r>
    </w:p>
    <w:p>
      <w:pPr>
        <w:pStyle w:val="FirstParagraph"/>
      </w:pPr>
      <w:r>
        <w:t xml:space="preserve">Total Transportation Emissions: 0.121 + 0.101 =</w:t>
      </w:r>
      <w:r>
        <w:t xml:space="preserve"> </w:t>
      </w:r>
      <w:r>
        <w:rPr>
          <w:bCs/>
          <w:b/>
        </w:rPr>
        <w:t xml:space="preserve">0.222 kgCO2e</w:t>
      </w:r>
    </w:p>
    <w:bookmarkEnd w:id="41"/>
    <w:bookmarkEnd w:id="42"/>
    <w:bookmarkStart w:id="43" w:name="use-phase-scope-3-category-11"/>
    <w:p>
      <w:pPr>
        <w:pStyle w:val="Heading3"/>
      </w:pPr>
      <w:r>
        <w:t xml:space="preserve">4.4. Use Phase (Scope 3, Category 11)</w:t>
      </w:r>
    </w:p>
    <w:p>
      <w:pPr>
        <w:numPr>
          <w:ilvl w:val="0"/>
          <w:numId w:val="1014"/>
        </w:numPr>
        <w:pStyle w:val="Compact"/>
      </w:pPr>
      <w:r>
        <w:t xml:space="preserve">Total energy consumption over lifespan: 50 kWh</w:t>
      </w:r>
    </w:p>
    <w:p>
      <w:pPr>
        <w:numPr>
          <w:ilvl w:val="0"/>
          <w:numId w:val="1014"/>
        </w:numPr>
        <w:pStyle w:val="Compact"/>
      </w:pPr>
      <w:r>
        <w:t xml:space="preserve">Emissions: 50 kWh * 0.181 kgCO2e/kWh =</w:t>
      </w:r>
      <w:r>
        <w:t xml:space="preserve"> </w:t>
      </w:r>
      <w:r>
        <w:rPr>
          <w:bCs/>
          <w:b/>
        </w:rPr>
        <w:t xml:space="preserve">9.050 kgCO2e</w:t>
      </w:r>
    </w:p>
    <w:p>
      <w:pPr>
        <w:pStyle w:val="FirstParagraph"/>
      </w:pPr>
      <w:r>
        <w:t xml:space="preserve">Total Use Phase Emissions:</w:t>
      </w:r>
      <w:r>
        <w:t xml:space="preserve"> </w:t>
      </w:r>
      <w:r>
        <w:rPr>
          <w:bCs/>
          <w:b/>
        </w:rPr>
        <w:t xml:space="preserve">9.050 kgCO2e</w:t>
      </w:r>
    </w:p>
    <w:bookmarkEnd w:id="43"/>
    <w:bookmarkStart w:id="44" w:name="end-of-life-eol-scope-3-category-12"/>
    <w:p>
      <w:pPr>
        <w:pStyle w:val="Heading3"/>
      </w:pPr>
      <w:r>
        <w:t xml:space="preserve">4.5. End-of-Life (EoL) (Scope 3, Category 12)</w:t>
      </w:r>
    </w:p>
    <w:p>
      <w:pPr>
        <w:pStyle w:val="FirstParagraph"/>
      </w:pPr>
      <w:r>
        <w:t xml:space="preserve">We consider avoided emissions from recycling for the portion of recyclable materials</w:t>
      </w:r>
      <w:r>
        <w:t xml:space="preserve"> </w:t>
      </w:r>
      <w:r>
        <w:t xml:space="preserve">(Aluminum, Steel, HDPE, Cardboard) based on the 70% recyclability percentage.</w:t>
      </w:r>
    </w:p>
    <w:p>
      <w:pPr>
        <w:numPr>
          <w:ilvl w:val="0"/>
          <w:numId w:val="1015"/>
        </w:numPr>
        <w:pStyle w:val="Compact"/>
      </w:pPr>
      <w:r>
        <w:t xml:space="preserve">Aluminum Casing (0.2 kg * 0.70) * 0.0129 kgCO2e/kg = 0.001806 kgCO2e</w:t>
      </w:r>
    </w:p>
    <w:p>
      <w:pPr>
        <w:numPr>
          <w:ilvl w:val="0"/>
          <w:numId w:val="1015"/>
        </w:numPr>
        <w:pStyle w:val="Compact"/>
      </w:pPr>
      <w:r>
        <w:t xml:space="preserve">Steel Frame (0.5 kg * 0.70) * 0.0015 kgCO2e/kg = 0.000525 kgCO2e</w:t>
      </w:r>
    </w:p>
    <w:p>
      <w:pPr>
        <w:numPr>
          <w:ilvl w:val="0"/>
          <w:numId w:val="1015"/>
        </w:numPr>
        <w:pStyle w:val="Compact"/>
      </w:pPr>
      <w:r>
        <w:t xml:space="preserve">HDPE Housing (0.15 kg * 0.70) * 0.0008 kgCO2e/kg = 0.000084 kgCO2e</w:t>
      </w:r>
    </w:p>
    <w:p>
      <w:pPr>
        <w:numPr>
          <w:ilvl w:val="0"/>
          <w:numId w:val="1015"/>
        </w:numPr>
        <w:pStyle w:val="Compact"/>
      </w:pPr>
      <w:r>
        <w:t xml:space="preserve">Cardboard Packaging (0.03 kg * 0.70) * 0.005 kgCO2e/kg = 0.000105 kgCO2e</w:t>
      </w:r>
    </w:p>
    <w:p>
      <w:pPr>
        <w:numPr>
          <w:ilvl w:val="0"/>
          <w:numId w:val="1015"/>
        </w:numPr>
        <w:pStyle w:val="Compact"/>
      </w:pPr>
      <w:r>
        <w:t xml:space="preserve">Total Avoided Emissions: 0.001806 + 0.000525 + 0.000084 + 0.000105 =</w:t>
      </w:r>
      <w:r>
        <w:t xml:space="preserve"> </w:t>
      </w:r>
      <w:r>
        <w:rPr>
          <w:bCs/>
          <w:b/>
        </w:rPr>
        <w:t xml:space="preserve">0.00252 kgCO2e (negative, i.e., avoided)</w:t>
      </w:r>
    </w:p>
    <w:p>
      <w:pPr>
        <w:pStyle w:val="FirstParagraph"/>
      </w:pPr>
      <w:r>
        <w:t xml:space="preserve">Total End-of-Life Emissions:</w:t>
      </w:r>
      <w:r>
        <w:t xml:space="preserve"> </w:t>
      </w:r>
      <w:r>
        <w:rPr>
          <w:bCs/>
          <w:b/>
        </w:rPr>
        <w:t xml:space="preserve">-0.00252 kgCO2e</w:t>
      </w:r>
    </w:p>
    <w:bookmarkEnd w:id="44"/>
    <w:bookmarkStart w:id="45" w:name="X8d5e3225efc6798cee5e0dcba877fef2ead9e2e"/>
    <w:p>
      <w:pPr>
        <w:pStyle w:val="Heading3"/>
      </w:pPr>
      <w:r>
        <w:t xml:space="preserve">4.6. Summary of GHG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5.950</w:t>
            </w:r>
          </w:p>
        </w:tc>
        <w:tc>
          <w:tcPr/>
          <w:p>
            <w:pPr>
              <w:pStyle w:val="Compact"/>
              <w:jc w:val="left"/>
            </w:pPr>
            <w:r>
              <w:t xml:space="preserve">Scope 3 (Category 1)</w:t>
            </w:r>
          </w:p>
        </w:tc>
      </w:tr>
      <w:tr>
        <w:tc>
          <w:tcPr/>
          <w:p>
            <w:pPr>
              <w:pStyle w:val="Compact"/>
              <w:jc w:val="left"/>
            </w:pPr>
            <w:r>
              <w:t xml:space="preserve">Manufacturing / Production</w:t>
            </w:r>
          </w:p>
        </w:tc>
        <w:tc>
          <w:tcPr/>
          <w:p>
            <w:pPr>
              <w:pStyle w:val="Compact"/>
              <w:jc w:val="left"/>
            </w:pPr>
            <w:r>
              <w:t xml:space="preserve">0.232</w:t>
            </w:r>
          </w:p>
        </w:tc>
        <w:tc>
          <w:tcPr/>
          <w:p>
            <w:pPr>
              <w:pStyle w:val="Compact"/>
              <w:jc w:val="left"/>
            </w:pPr>
            <w:r>
              <w:t xml:space="preserve">Scope 2</w:t>
            </w:r>
          </w:p>
        </w:tc>
      </w:tr>
      <w:tr>
        <w:tc>
          <w:tcPr/>
          <w:p>
            <w:pPr>
              <w:pStyle w:val="Compact"/>
              <w:jc w:val="left"/>
            </w:pPr>
            <w:r>
              <w:t xml:space="preserve">Transportation (Outbound)</w:t>
            </w:r>
          </w:p>
        </w:tc>
        <w:tc>
          <w:tcPr/>
          <w:p>
            <w:pPr>
              <w:pStyle w:val="Compact"/>
              <w:jc w:val="left"/>
            </w:pPr>
            <w:r>
              <w:t xml:space="preserve">0.121</w:t>
            </w:r>
          </w:p>
        </w:tc>
        <w:tc>
          <w:tcPr/>
          <w:p>
            <w:pPr>
              <w:pStyle w:val="Compact"/>
              <w:jc w:val="left"/>
            </w:pPr>
            <w:r>
              <w:t xml:space="preserve">Scope 3 (Category 4)</w:t>
            </w:r>
          </w:p>
        </w:tc>
      </w:tr>
      <w:tr>
        <w:tc>
          <w:tcPr/>
          <w:p>
            <w:pPr>
              <w:pStyle w:val="Compact"/>
              <w:jc w:val="left"/>
            </w:pPr>
            <w:r>
              <w:t xml:space="preserve">Transportation (Last-Mile)</w:t>
            </w:r>
          </w:p>
        </w:tc>
        <w:tc>
          <w:tcPr/>
          <w:p>
            <w:pPr>
              <w:pStyle w:val="Compact"/>
              <w:jc w:val="left"/>
            </w:pPr>
            <w:r>
              <w:t xml:space="preserve">0.101</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9.050</w:t>
            </w:r>
          </w:p>
        </w:tc>
        <w:tc>
          <w:tcPr/>
          <w:p>
            <w:pPr>
              <w:pStyle w:val="Compact"/>
              <w:jc w:val="left"/>
            </w:pPr>
            <w:r>
              <w:t xml:space="preserve">Scope 3 (Category 11)</w:t>
            </w:r>
          </w:p>
        </w:tc>
      </w:tr>
      <w:tr>
        <w:tc>
          <w:tcPr/>
          <w:p>
            <w:pPr>
              <w:pStyle w:val="Compact"/>
              <w:jc w:val="left"/>
            </w:pPr>
            <w:r>
              <w:t xml:space="preserve">End-of-Life (Avoided Emissions)</w:t>
            </w:r>
          </w:p>
        </w:tc>
        <w:tc>
          <w:tcPr/>
          <w:p>
            <w:pPr>
              <w:pStyle w:val="Compact"/>
              <w:jc w:val="left"/>
            </w:pPr>
            <w:r>
              <w:t xml:space="preserve">-0.00252</w:t>
            </w:r>
          </w:p>
        </w:tc>
        <w:tc>
          <w:tcPr/>
          <w:p>
            <w:pPr>
              <w:pStyle w:val="Compact"/>
              <w:jc w:val="left"/>
            </w:pPr>
            <w:r>
              <w:t xml:space="preserve">Scope 3 (Category 12)</w:t>
            </w:r>
          </w:p>
        </w:tc>
      </w:tr>
      <w:tr>
        <w:tc>
          <w:tcPr/>
          <w:p>
            <w:pPr>
              <w:pStyle w:val="Compact"/>
              <w:jc w:val="left"/>
            </w:pPr>
            <w:r>
              <w:rPr>
                <w:bCs/>
                <w:b/>
              </w:rPr>
              <w:t xml:space="preserve">TOTAL PRODUCT CARBON FOOTPRINT</w:t>
            </w:r>
          </w:p>
        </w:tc>
        <w:tc>
          <w:tcPr/>
          <w:p>
            <w:pPr>
              <w:pStyle w:val="Compact"/>
              <w:jc w:val="left"/>
            </w:pPr>
            <w:r>
              <w:rPr>
                <w:bCs/>
                <w:b/>
              </w:rPr>
              <w:t xml:space="preserve">15.451 kgCO2e</w:t>
            </w:r>
          </w:p>
        </w:tc>
        <w:tc>
          <w:tcPr/>
          <w:p>
            <w:pPr>
              <w:pStyle w:val="Compact"/>
            </w:pPr>
          </w:p>
        </w:tc>
      </w:tr>
    </w:tbl>
    <w:bookmarkEnd w:id="45"/>
    <w:bookmarkStart w:id="46" w:name="ghg-emissions-by-scope"/>
    <w:p>
      <w:pPr>
        <w:pStyle w:val="Heading3"/>
      </w:pPr>
      <w:r>
        <w:t xml:space="preserve">4.7. 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0.232</w:t>
            </w:r>
          </w:p>
        </w:tc>
        <w:tc>
          <w:tcPr/>
          <w:p>
            <w:pPr>
              <w:pStyle w:val="Compact"/>
              <w:jc w:val="left"/>
            </w:pPr>
            <w:r>
              <w:t xml:space="preserve">1.5%</w:t>
            </w:r>
          </w:p>
        </w:tc>
      </w:tr>
      <w:tr>
        <w:tc>
          <w:tcPr/>
          <w:p>
            <w:pPr>
              <w:pStyle w:val="Compact"/>
              <w:jc w:val="left"/>
            </w:pPr>
            <w:r>
              <w:t xml:space="preserve">Scope 3</w:t>
            </w:r>
          </w:p>
        </w:tc>
        <w:tc>
          <w:tcPr/>
          <w:p>
            <w:pPr>
              <w:pStyle w:val="Compact"/>
              <w:jc w:val="left"/>
            </w:pPr>
            <w:r>
              <w:t xml:space="preserve">15.219</w:t>
            </w:r>
          </w:p>
        </w:tc>
        <w:tc>
          <w:tcPr/>
          <w:p>
            <w:pPr>
              <w:pStyle w:val="Compact"/>
              <w:jc w:val="left"/>
            </w:pPr>
            <w:r>
              <w:t xml:space="preserve">98.5%</w:t>
            </w:r>
          </w:p>
        </w:tc>
      </w:tr>
      <w:tr>
        <w:tc>
          <w:tcPr/>
          <w:p>
            <w:pPr>
              <w:pStyle w:val="Compact"/>
              <w:jc w:val="left"/>
            </w:pPr>
            <w:r>
              <w:rPr>
                <w:bCs/>
                <w:b/>
              </w:rPr>
              <w:t xml:space="preserve">TOTAL</w:t>
            </w:r>
          </w:p>
        </w:tc>
        <w:tc>
          <w:tcPr/>
          <w:p>
            <w:pPr>
              <w:pStyle w:val="Compact"/>
              <w:jc w:val="left"/>
            </w:pPr>
            <w:r>
              <w:rPr>
                <w:bCs/>
                <w:b/>
              </w:rPr>
              <w:t xml:space="preserve">15.451 kgCO2e</w:t>
            </w:r>
          </w:p>
        </w:tc>
        <w:tc>
          <w:tcPr/>
          <w:p>
            <w:pPr>
              <w:pStyle w:val="Compact"/>
              <w:jc w:val="left"/>
            </w:pPr>
            <w:r>
              <w:rPr>
                <w:bCs/>
                <w:b/>
              </w:rPr>
              <w:t xml:space="preserve">100.0%</w:t>
            </w:r>
          </w:p>
        </w:tc>
      </w:tr>
    </w:tbl>
    <w:p>
      <w:pPr>
        <w:pStyle w:val="BodyText"/>
      </w:pPr>
      <w:r>
        <w:rPr>
          <w:iCs/>
          <w:i/>
        </w:rPr>
        <w:t xml:space="preserve">Note: The Scope 3 total here includes all categories (1, 4, 9, 11, 12) within the product\'s value chain.</w:t>
      </w:r>
      <w:r>
        <w:rPr>
          <w:iCs/>
          <w:i/>
        </w:rPr>
        <w:t xml:space="preserve"> </w:t>
      </w:r>
      <w:r>
        <w:rPr>
          <w:iCs/>
          <w:i/>
        </w:rPr>
        <w:t xml:space="preserve">The 95% Scope 3 coverage requirement for 2026 is addressed by including all identified material and energy flows.</w:t>
      </w:r>
    </w:p>
    <w:bookmarkEnd w:id="46"/>
    <w:bookmarkStart w:id="47" w:name="X8dc2661ce8098aa2ae7ad068c57a587c9fce42b"/>
    <w:p>
      <w:pPr>
        <w:pStyle w:val="Heading3"/>
      </w:pPr>
      <w:r>
        <w:t xml:space="preserve">4.8. Application of 2026 LSR Standard (Land Sector and Removals)</w:t>
      </w:r>
    </w:p>
    <w:p>
      <w:pPr>
        <w:pStyle w:val="FirstParagraph"/>
      </w:pPr>
      <w:r>
        <w:t xml:space="preserve">The 2026 Land Sector and Removals (LSR) Standard focuses on land use change, land management, biogenic products, and CO2 removals.</w:t>
      </w:r>
      <w:r>
        <w:t xml:space="preserve"> </w:t>
      </w:r>
      <w:r>
        <w:t xml:space="preserve">For product fsutfvltww, given a \'factory_gate\' system boundary for direct operations, significant direct land use emissions or biogenic carbon removals</w:t>
      </w:r>
      <w:r>
        <w:t xml:space="preserve"> </w:t>
      </w:r>
      <w:r>
        <w:t xml:space="preserve">are not identified within the immediate production process. However, the standard emphasizes accounting for land-related emissions across the value chain.</w:t>
      </w:r>
      <w:r>
        <w:t xml:space="preserve"> </w:t>
      </w:r>
      <w:r>
        <w:t xml:space="preserve">If any raw materials (e.g., bio-based plastics, wood) in the \'Detailed Bill of Materials\' had significant land use impacts or removals associated with their</w:t>
      </w:r>
      <w:r>
        <w:t xml:space="preserve"> </w:t>
      </w:r>
      <w:r>
        <w:t xml:space="preserve">production, these would be quantified as part of Scope 3, Category 1. For this analysis, the primary materials (metals, non-bio-based plastics) do not typically</w:t>
      </w:r>
      <w:r>
        <w:t xml:space="preserve"> </w:t>
      </w:r>
      <w:r>
        <w:t xml:space="preserve">involve direct land-use change emissions that fall under the specific LSR categories at the product level, beyond the embedded carbon already in their material</w:t>
      </w:r>
      <w:r>
        <w:t xml:space="preserve"> </w:t>
      </w:r>
      <w:r>
        <w:t xml:space="preserve">emission factors. Future iterations with more granular material sourcing data could apply specific LSR guidance.</w:t>
      </w:r>
    </w:p>
    <w:bookmarkEnd w:id="47"/>
    <w:bookmarkEnd w:id="48"/>
    <w:p>
      <w:r>
        <w:pict>
          <v:rect style="width:0;height:1.5pt" o:hralign="center" o:hrstd="t" o:hr="t"/>
        </w:pict>
      </w:r>
    </w:p>
    <w:bookmarkStart w:id="52"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The analysis reveals the following major emission hotspots for fsutfvltww:</w:t>
      </w:r>
    </w:p>
    <w:p>
      <w:pPr>
        <w:numPr>
          <w:ilvl w:val="0"/>
          <w:numId w:val="1016"/>
        </w:numPr>
        <w:pStyle w:val="Compact"/>
      </w:pPr>
      <w:r>
        <w:rPr>
          <w:bCs/>
          <w:b/>
        </w:rPr>
        <w:t xml:space="preserve">Use Phase (9.050 kgCO2e, ~58.6% of total):</w:t>
      </w:r>
      <w:r>
        <w:t xml:space="preserve"> </w:t>
      </w:r>
      <w:r>
        <w:t xml:space="preserve">This is the most significant contributor, primarily due to the product\'s energy consumption over its 5-year lifespan in a European grid mix. Even with a relatively low European grid emission factor, the cumulative energy use is substantial.</w:t>
      </w:r>
    </w:p>
    <w:p>
      <w:pPr>
        <w:numPr>
          <w:ilvl w:val="0"/>
          <w:numId w:val="1016"/>
        </w:numPr>
        <w:pStyle w:val="Compact"/>
      </w:pPr>
      <w:r>
        <w:rPr>
          <w:bCs/>
          <w:b/>
        </w:rPr>
        <w:t xml:space="preserve">Materials Acquisition &amp; Pre-processing (5.950 kgCO2e, ~38.5% of total):</w:t>
      </w:r>
      <w:r>
        <w:t xml:space="preserve"> </w:t>
      </w:r>
      <w:r>
        <w:t xml:space="preserve">The embedded emissions in raw materials, particularly Aluminum, Electronic components (Circuit Board, Lithium-ion Battery), and Steel, contribute significantly to the upstream footprint.</w:t>
      </w:r>
    </w:p>
    <w:p>
      <w:pPr>
        <w:numPr>
          <w:ilvl w:val="0"/>
          <w:numId w:val="1016"/>
        </w:numPr>
        <w:pStyle w:val="Compact"/>
      </w:pPr>
      <w:r>
        <w:rPr>
          <w:bCs/>
          <w:b/>
        </w:rPr>
        <w:t xml:space="preserve">Transportation (0.222 kgCO2e, ~1.4% of total):</w:t>
      </w:r>
      <w:r>
        <w:t xml:space="preserve"> </w:t>
      </w:r>
      <w:r>
        <w:t xml:space="preserve">While essential, the combined emissions from international ocean freight and last-mile urban delivery are comparatively smaller than the Use Phase and Materials.</w:t>
      </w:r>
    </w:p>
    <w:p>
      <w:pPr>
        <w:numPr>
          <w:ilvl w:val="0"/>
          <w:numId w:val="1016"/>
        </w:numPr>
        <w:pStyle w:val="Compact"/>
      </w:pPr>
      <w:r>
        <w:rPr>
          <w:bCs/>
          <w:b/>
        </w:rPr>
        <w:t xml:space="preserve">Manufacturing / Production (0.232 kgCO2e, ~1.5% of total):</w:t>
      </w:r>
      <w:r>
        <w:t xml:space="preserve"> </w:t>
      </w:r>
      <w:r>
        <w:t xml:space="preserve">Emissions from purchased electricity for manufacturing, even with 50% renewable energy, represent a minor portion of the overall footprint.</w:t>
      </w:r>
    </w:p>
    <w:bookmarkEnd w:id="49"/>
    <w:bookmarkStart w:id="50" w:name="data-reliability-and-limitations"/>
    <w:p>
      <w:pPr>
        <w:pStyle w:val="Heading3"/>
      </w:pPr>
      <w:r>
        <w:t xml:space="preserve">5.2. Data Reliability and Limitations</w:t>
      </w:r>
    </w:p>
    <w:p>
      <w:pPr>
        <w:pStyle w:val="FirstParagraph"/>
      </w:pPr>
      <w:r>
        <w:t xml:space="preserve">The calculations rely on a combination of primary data (e.g., energy intensity, renewable energy usage, product lifespan)</w:t>
      </w:r>
      <w:r>
        <w:t xml:space="preserve"> </w:t>
      </w:r>
      <w:r>
        <w:t xml:space="preserve">and secondary data (industry-average emission factors for materials, electricity grids, and transportation).</w:t>
      </w:r>
      <w:r>
        <w:t xml:space="preserve"> </w:t>
      </w:r>
      <w:r>
        <w:t xml:space="preserve">The use of generic placeholder values for parameters like `flhniqqq`, `Select Mode`, `Transport Distance`,</w:t>
      </w:r>
      <w:r>
        <w:t xml:space="preserve"> </w:t>
      </w:r>
      <w:r>
        <w:t xml:space="preserve">and `Delivery Type` introduces a degree of uncertainty. Actual primary data for all material sourcing, specific</w:t>
      </w:r>
      <w:r>
        <w:t xml:space="preserve"> </w:t>
      </w:r>
      <w:r>
        <w:t xml:space="preserve">transport routes and modes, and detailed EoL processing would enhance accuracy. However, the chosen emission</w:t>
      </w:r>
      <w:r>
        <w:t xml:space="preserve"> </w:t>
      </w:r>
      <w:r>
        <w:t xml:space="preserve">factors are sourced from recognized bodies (IEA, PwC, McKinnon, GLEC equivalents) and are representative of</w:t>
      </w:r>
      <w:r>
        <w:t xml:space="preserve"> </w:t>
      </w:r>
      <w:r>
        <w:t xml:space="preserve">current industry best practices for secondary data. The report assumes a conservative interpretation of some</w:t>
      </w:r>
      <w:r>
        <w:t xml:space="preserve"> </w:t>
      </w:r>
      <w:r>
        <w:t xml:space="preserve">GHG Protocol aspects where specific product data was not detailed.</w:t>
      </w:r>
    </w:p>
    <w:bookmarkEnd w:id="50"/>
    <w:bookmarkStart w:id="51" w:name="recommendations"/>
    <w:p>
      <w:pPr>
        <w:pStyle w:val="Heading3"/>
      </w:pPr>
      <w:r>
        <w:t xml:space="preserve">5.3. Recommendations</w:t>
      </w:r>
    </w:p>
    <w:p>
      <w:pPr>
        <w:pStyle w:val="FirstParagraph"/>
      </w:pPr>
      <w:r>
        <w:t xml:space="preserve">Based on the identified hotspots, thprmyrqev should consider the following actions to reduce the PCF of fsutfvltww:</w:t>
      </w:r>
    </w:p>
    <w:p>
      <w:pPr>
        <w:numPr>
          <w:ilvl w:val="0"/>
          <w:numId w:val="1017"/>
        </w:numPr>
        <w:pStyle w:val="Compact"/>
      </w:pPr>
      <w:r>
        <w:rPr>
          <w:bCs/>
          <w:b/>
        </w:rPr>
        <w:t xml:space="preserve">Optimize Use Phase Efficiency:</w:t>
      </w:r>
      <w:r>
        <w:t xml:space="preserve"> </w:t>
      </w:r>
      <w:r>
        <w:t xml:space="preserve">Focus on reducing the product\'s energy consumption during its use. This could involve design for energy efficiency, smart power management features, or providing guidance to users on efficient operation.</w:t>
      </w:r>
    </w:p>
    <w:p>
      <w:pPr>
        <w:numPr>
          <w:ilvl w:val="0"/>
          <w:numId w:val="1017"/>
        </w:numPr>
        <w:pStyle w:val="Compact"/>
      </w:pPr>
      <w:r>
        <w:rPr>
          <w:bCs/>
          <w:b/>
        </w:rPr>
        <w:t xml:space="preserve">Source Low-Carbon Materials:</w:t>
      </w:r>
      <w:r>
        <w:t xml:space="preserve"> </w:t>
      </w:r>
      <w:r>
        <w:t xml:space="preserve">Explore alternative materials with lower embedded carbon footprints, prioritize suppliers using renewable energy in their production, or increase the recycled content of materials.</w:t>
      </w:r>
    </w:p>
    <w:p>
      <w:pPr>
        <w:numPr>
          <w:ilvl w:val="0"/>
          <w:numId w:val="1017"/>
        </w:numPr>
        <w:pStyle w:val="Compact"/>
      </w:pPr>
      <w:r>
        <w:rPr>
          <w:bCs/>
          <w:b/>
        </w:rPr>
        <w:t xml:space="preserve">Enhance Circularity:</w:t>
      </w:r>
      <w:r>
        <w:t xml:space="preserve"> </w:t>
      </w:r>
      <w:r>
        <w:t xml:space="preserve">Leverage the existing circular/take-back programs (fprhmhvuwl) to maximize actual recycling rates beyond the current 70% and investigate closed-loop recycling for complex components like electronics and batteries to minimize EoL burdens and maximize avoided emissions.</w:t>
      </w:r>
    </w:p>
    <w:p>
      <w:pPr>
        <w:numPr>
          <w:ilvl w:val="0"/>
          <w:numId w:val="1017"/>
        </w:numPr>
        <w:pStyle w:val="Compact"/>
      </w:pPr>
      <w:r>
        <w:rPr>
          <w:bCs/>
          <w:b/>
        </w:rPr>
        <w:t xml:space="preserve">Supply Chain Optimization:</w:t>
      </w:r>
      <w:r>
        <w:t xml:space="preserve"> </w:t>
      </w:r>
      <w:r>
        <w:t xml:space="preserve">While transport is not the largest hotspot, optimizing logistics, e.g., by selecting more efficient modes (like rail over road where feasible for European distribution) and consolidating shipments, can yield further reductions.</w:t>
      </w:r>
    </w:p>
    <w:p>
      <w:pPr>
        <w:numPr>
          <w:ilvl w:val="0"/>
          <w:numId w:val="1017"/>
        </w:numPr>
        <w:pStyle w:val="Compact"/>
      </w:pPr>
      <w:r>
        <w:rPr>
          <w:bCs/>
          <w:b/>
        </w:rPr>
        <w:t xml:space="preserve">Increase Renewable Energy in Manufacturing:</w:t>
      </w:r>
      <w:r>
        <w:t xml:space="preserve"> </w:t>
      </w:r>
      <w:r>
        <w:t xml:space="preserve">Further increase the share of renewable energy used in the manufacturing facility in China (beyond pzoyueyowv, e.g., 50%) to reduce Scope 2 emissions.</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fsutfvltww</dc:title>
  <dc:creator/>
  <dc:description>Detailed Product Carbon Footprint (PCF) analysis report for product fsutfvltww by thprmyrqev, following GHG Protocol standards and 2026 updates, conducted by Senior Sustainability Consultant myiwoxeomk.</dc:description>
  <dc:language>en</dc:language>
  <cp:keywords/>
  <dcterms:created xsi:type="dcterms:W3CDTF">2026-07-15T00:21:30Z</dcterms:created>
  <dcterms:modified xsi:type="dcterms:W3CDTF">2026-07-15T00:21:30Z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