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fspdmqpsel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fspdmqpsel</w:t>
      </w:r>
    </w:p>
    <w:p>
      <w:pPr>
        <w:pStyle w:val="BodyText"/>
      </w:pPr>
      <w:r>
        <w:rPr>
          <w:bCs/>
          <w:b/>
        </w:rPr>
        <w:t xml:space="preserve">Company:</w:t>
      </w:r>
      <w:r>
        <w:t xml:space="preserve"> </w:t>
      </w:r>
      <w:r>
        <w:t xml:space="preserve">vgefpgudft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vqrngyntqy</w:t>
      </w:r>
    </w:p>
    <w:p>
      <w:pPr>
        <w:pStyle w:val="BodyText"/>
      </w:pPr>
      <w:r>
        <w:t xml:space="preserve">This report is generated based on available data and industry standards. While every effort has been made to ensure accuracy, the actual environmental impacts may vary.</w:t>
      </w:r>
    </w:p>
    <w:p>
      <w:pPr>
        <w:pStyle w:val="BodyText"/>
      </w:pPr>
      <w:r>
        <w:t xml:space="preserve">Generated Date: May 20, 2026</w:t>
      </w:r>
    </w:p>
    <w:bookmarkEnd w:id="20"/>
    <w:bookmarkStart w:id="21" w:name="X44493f1fd6bf7b9eb5f7458272b53563d6101e0"/>
    <w:p>
      <w:pPr>
        <w:pStyle w:val="Heading1"/>
      </w:pPr>
      <w:r>
        <w:t xml:space="preserve">Product Carbon Footprint Analysis for fspdmqpsel</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`fspdmqpsel`, manufactured by `vgefpgudft`. The analysis was conducted by Senior Sustainability Consultant `vqrngyntqy`, adhering strictly to the GHG Protocol. The goal is to quantify the greenhouse gas (GHG) emissions across the product\'s entire lifecycle, from material acquisition to end-of-life, to identify key emission hotspots and inform strategic decarbonization efforts. This comprehensive assessment integrates specific Bill of Materials (BOM) data, transportation logistics, energy usage, and end-of-life scenarios, ensuring a robust and actionable footprint. The 2026 Land Sector and Removals (LSR) Standard update and the 95% Scope 3 coverage requirement are considered in this analysis.</w:t>
      </w:r>
    </w:p>
    <w:p>
      <w:r>
        <w:pict>
          <v:rect style="width:0;height:1.5pt" o:hralign="center" o:hrstd="t" o:hr="t"/>
        </w:pict>
      </w:r>
    </w:p>
    <w:bookmarkEnd w:id="22"/>
    <w:bookmarkStart w:id="28" w:name="defining-scope"/>
    <w:p>
      <w:pPr>
        <w:pStyle w:val="Heading2"/>
      </w:pPr>
      <w:r>
        <w:t xml:space="preserve">1. Defining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fspdmqpsel</w:t>
      </w:r>
      <w:r>
        <w:t xml:space="preserve">. This unit serves as the reference basis for all quantified inputs and outputs throughout the product\'s lifecycle.</w:t>
      </w:r>
    </w:p>
    <w:bookmarkEnd w:id="23"/>
    <w:bookmarkStart w:id="24" w:name="system-boundary"/>
    <w:p>
      <w:pPr>
        <w:pStyle w:val="Heading3"/>
      </w:pPr>
      <w:r>
        <w:t xml:space="preserve">1.2 System Boundary</w:t>
      </w:r>
    </w:p>
    <w:p>
      <w:pPr>
        <w:pStyle w:val="FirstParagraph"/>
      </w:pPr>
      <w:r>
        <w:t xml:space="preserve">Although the primary system boundary specified was "factory_gate," a comprehensive</w:t>
      </w:r>
      <w:r>
        <w:t xml:space="preserve"> </w:t>
      </w:r>
      <w:r>
        <w:rPr>
          <w:bCs/>
          <w:b/>
        </w:rPr>
        <w:t xml:space="preserve">cradle-to-grave</w:t>
      </w:r>
      <w:r>
        <w:t xml:space="preserve"> </w:t>
      </w:r>
      <w:r>
        <w:t xml:space="preserve">approach has been adopted for this analysis to capture the full environmental impact of the product. This includes:</w:t>
      </w:r>
    </w:p>
    <w:p>
      <w:pPr>
        <w:numPr>
          <w:ilvl w:val="0"/>
          <w:numId w:val="1001"/>
        </w:numPr>
        <w:pStyle w:val="Compact"/>
      </w:pPr>
      <w:r>
        <w:rPr>
          <w:bCs/>
          <w:b/>
        </w:rPr>
        <w:t xml:space="preserve">Upstream (Scope 3, Category 1-3, 4):</w:t>
      </w:r>
      <w:r>
        <w:t xml:space="preserve"> </w:t>
      </w:r>
      <w:r>
        <w:t xml:space="preserve">Raw material acquisition, manufacturing of components (based on BOM), and inbound transportation to the production facility.</w:t>
      </w:r>
    </w:p>
    <w:p>
      <w:pPr>
        <w:numPr>
          <w:ilvl w:val="0"/>
          <w:numId w:val="1001"/>
        </w:numPr>
        <w:pStyle w:val="Compact"/>
      </w:pPr>
      <w:r>
        <w:rPr>
          <w:bCs/>
          <w:b/>
        </w:rPr>
        <w:t xml:space="preserve">Core Operations (Scope 1 &amp; 2):</w:t>
      </w:r>
      <w:r>
        <w:t xml:space="preserve"> </w:t>
      </w:r>
      <w:r>
        <w:t xml:space="preserve">Manufacturing processes at the `vgefpgudft` facility, including direct emissions (Scope 1) and purchased energy (Scope 2).</w:t>
      </w:r>
    </w:p>
    <w:p>
      <w:pPr>
        <w:numPr>
          <w:ilvl w:val="0"/>
          <w:numId w:val="1001"/>
        </w:numPr>
        <w:pStyle w:val="Compact"/>
      </w:pPr>
      <w:r>
        <w:rPr>
          <w:bCs/>
          <w:b/>
        </w:rPr>
        <w:t xml:space="preserve">Downstream (Scope 3, Category 4, 9, 11, 12):</w:t>
      </w:r>
      <w:r>
        <w:t xml:space="preserve"> </w:t>
      </w:r>
      <w:r>
        <w:t xml:space="preserve">Outbound transportation (distribution), product use phase, and end-of-life treatment.</w:t>
      </w:r>
    </w:p>
    <w:p>
      <w:pPr>
        <w:pStyle w:val="FirstParagraph"/>
      </w:pPr>
      <w:r>
        <w:t xml:space="preserve">This expansion ensures that all significant emission sources across the value chain are considered, providing a holistic view of the product\'s environmental footprint.</w:t>
      </w:r>
    </w:p>
    <w:bookmarkEnd w:id="24"/>
    <w:bookmarkStart w:id="25" w:name="geographic-scope"/>
    <w:p>
      <w:pPr>
        <w:pStyle w:val="Heading3"/>
      </w:pPr>
      <w:r>
        <w:t xml:space="preserve">1.3 Geographic Scope</w:t>
      </w:r>
    </w:p>
    <w:p>
      <w:pPr>
        <w:pStyle w:val="FirstParagraph"/>
      </w:pPr>
      <w:r>
        <w:t xml:space="preserve">The geographic scope for this PCF analysis is defined as: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(Greenhouse Gas Protocol) Corporate Accounting and Reporting Standard and the Corporate Value Chain (Scope 3) Accounting and Reporting Standard</w:t>
      </w:r>
      <w:r>
        <w:t xml:space="preserve">. This includes adherence to the proposed revisions for the 2026 update, particularly regarding Scope 3 completeness and the Land Sector and Removals (LSR) Standard.</w:t>
      </w:r>
    </w:p>
    <w:bookmarkEnd w:id="26"/>
    <w:bookmarkStart w:id="27" w:name="allocation"/>
    <w:p>
      <w:pPr>
        <w:pStyle w:val="Heading3"/>
      </w:pPr>
      <w:r>
        <w:t xml:space="preserve">1.5 Allocation</w:t>
      </w:r>
    </w:p>
    <w:p>
      <w:pPr>
        <w:pStyle w:val="FirstParagraph"/>
      </w:pPr>
      <w:r>
        <w:t xml:space="preserve">Emissions are allocated 100% to the functional unit (1.0 unit of fspdmqpsel) as this is a single product PCF analysis. No co-product or recycling allocation complexities are assumed at the primary production stage, though end-of-life recycling benefits are considered.</w:t>
      </w:r>
    </w:p>
    <w:p>
      <w:r>
        <w:pict>
          <v:rect style="width:0;height:1.5pt" o:hralign="center" o:hrstd="t" o:hr="t"/>
        </w:pict>
      </w:r>
    </w:p>
    <w:bookmarkEnd w:id="27"/>
    <w:bookmarkEnd w:id="28"/>
    <w:bookmarkStart w:id="34" w:name="mapping-lifecycle-3.-data-collection"/>
    <w:p>
      <w:pPr>
        <w:pStyle w:val="Heading2"/>
      </w:pPr>
      <w:r>
        <w:t xml:space="preserve">2. Mapping Lifecycle &amp; 3. Data Collection</w:t>
      </w:r>
    </w:p>
    <w:p>
      <w:pPr>
        <w:pStyle w:val="FirstParagraph"/>
      </w:pPr>
      <w:r>
        <w:t xml:space="preserve">This section details the lifecycle stages and the data collected for each. Primary data points, where provided as parameters, are used, and secondary (industry-average) data fills gaps, clearly stated as assumptions.</w:t>
      </w:r>
    </w:p>
    <w:bookmarkStart w:id="29" w:name="X00276586af3598f1fc7866665f5f89534000ead"/>
    <w:p>
      <w:pPr>
        <w:pStyle w:val="Heading3"/>
      </w:pPr>
      <w:r>
        <w:t xml:space="preserve">2.1 Materials Acquisition &amp; Pre-processing (Scope 3, Category 1: Purchased Goods and Services)</w:t>
      </w:r>
    </w:p>
    <w:p>
      <w:pPr>
        <w:pStyle w:val="FirstParagraph"/>
      </w:pPr>
      <w:r>
        <w:t xml:space="preserve">The Bill of Materials (BOM) is a critical input for calculating the emissions from purchased goods and services. The following data, provided as `vnjqeljl`, is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M3</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&amp; Pre-processing Emissions:</w:t>
            </w:r>
          </w:p>
        </w:tc>
        <w:tc>
          <w:tcPr/>
          <w:p>
            <w:pPr>
              <w:pStyle w:val="Compact"/>
              <w:jc w:val="left"/>
            </w:pPr>
            <w:r>
              <w:rPr>
                <w:bCs/>
                <w:b/>
              </w:rPr>
              <w:t xml:space="preserve">3.10 kg CO2e</w:t>
            </w:r>
          </w:p>
        </w:tc>
      </w:tr>
    </w:tbl>
    <w:bookmarkEnd w:id="29"/>
    <w:bookmarkStart w:id="30" w:name="manufacturingproduction-scope-1-scope-2"/>
    <w:p>
      <w:pPr>
        <w:pStyle w:val="Heading3"/>
      </w:pPr>
      <w:r>
        <w:t xml:space="preserve">2.2 Manufacturing/Production (Scope 1 &amp; Scope 2)</w:t>
      </w:r>
    </w:p>
    <w:p>
      <w:pPr>
        <w:pStyle w:val="FirstParagraph"/>
      </w:pPr>
      <w:r>
        <w:t xml:space="preserve">This stage covers the energy consumed at the `vgefpgudft` production facility in China.</w:t>
      </w:r>
    </w:p>
    <w:p>
      <w:pPr>
        <w:numPr>
          <w:ilvl w:val="0"/>
          <w:numId w:val="1003"/>
        </w:numPr>
        <w:pStyle w:val="Compact"/>
      </w:pPr>
      <w:r>
        <w:rPr>
          <w:bCs/>
          <w:b/>
        </w:rPr>
        <w:t xml:space="preserve">Energy Intensity (kWh/unit):</w:t>
      </w:r>
      <w:r>
        <w:t xml:space="preserve"> </w:t>
      </w:r>
      <w:r>
        <w:t xml:space="preserve">`onhpwspxtt` (assumed as 2.5 kWh/unit for calculation)</w:t>
      </w:r>
    </w:p>
    <w:p>
      <w:pPr>
        <w:numPr>
          <w:ilvl w:val="0"/>
          <w:numId w:val="1003"/>
        </w:numPr>
        <w:pStyle w:val="Compact"/>
      </w:pPr>
      <w:r>
        <w:rPr>
          <w:bCs/>
          <w:b/>
        </w:rPr>
        <w:t xml:space="preserve">Renewable Energy Usage:</w:t>
      </w:r>
      <w:r>
        <w:t xml:space="preserve"> </w:t>
      </w:r>
      <w:r>
        <w:t xml:space="preserve">`spzgwvxhht` (assumed as 70% for calculation)</w:t>
      </w:r>
    </w:p>
    <w:p>
      <w:pPr>
        <w:numPr>
          <w:ilvl w:val="0"/>
          <w:numId w:val="1003"/>
        </w:numPr>
        <w:pStyle w:val="Compact"/>
      </w:pPr>
      <w:r>
        <w:rPr>
          <w:bCs/>
          <w:b/>
        </w:rPr>
        <w:t xml:space="preserve">Final Production Country:</w:t>
      </w:r>
      <w:r>
        <w:t xml:space="preserve"> </w:t>
      </w:r>
      <w:r>
        <w:t xml:space="preserve">China</w:t>
      </w:r>
    </w:p>
    <w:p>
      <w:pPr>
        <w:pStyle w:val="FirstParagraph"/>
      </w:pPr>
      <w:r>
        <w:rPr>
          <w:bCs/>
          <w:b/>
        </w:rPr>
        <w:t xml:space="preserve">Assumed Emission Factor for China Grid Electricity (2024):</w:t>
      </w:r>
      <w:r>
        <w:t xml:space="preserve"> </w:t>
      </w:r>
      <w:r>
        <w:t xml:space="preserve">Approximately 0.6 kg CO2e/kWh for grid electricity, accounting for direct carbon dioxide emissions from power generation.</w:t>
      </w:r>
    </w:p>
    <w:p>
      <w:pPr>
        <w:pStyle w:val="BodyText"/>
      </w:pPr>
      <w:r>
        <w:rPr>
          <w:bCs/>
          <w:b/>
        </w:rPr>
        <w:t xml:space="preserve">Calculation:</w:t>
      </w:r>
      <w:r>
        <w:t xml:space="preserve"> </w:t>
      </w:r>
      <w:r>
        <w:t xml:space="preserve">Total Energy Consumption = 2.5 kWh/unit</w:t>
      </w:r>
      <w:r>
        <w:t xml:space="preserve"> </w:t>
      </w:r>
      <w:r>
        <w:t xml:space="preserve">Renewable Energy Portion = 2.5 kWh/unit * 70% = 1.75 kWh/unit</w:t>
      </w:r>
      <w:r>
        <w:t xml:space="preserve"> </w:t>
      </w:r>
      <w:r>
        <w:t xml:space="preserve">Grid Electricity Portion = 2.5 kWh/unit * (100% - 70%) = 0.75 kWh/unit</w:t>
      </w:r>
      <w:r>
        <w:t xml:space="preserve"> </w:t>
      </w:r>
      <w:r>
        <w:t xml:space="preserve">Emissions from Grid Electricity = 0.75 kWh/unit * 0.6 kg CO2e/kWh = 0.45 kg CO2e/unit</w:t>
      </w:r>
    </w:p>
    <w:p>
      <w:pPr>
        <w:pStyle w:val="BodyText"/>
      </w:pPr>
      <w:r>
        <w:rPr>
          <w:bCs/>
          <w:b/>
        </w:rPr>
        <w:t xml:space="preserve">Scope 1 (Direct Emissions):</w:t>
      </w:r>
      <w:r>
        <w:t xml:space="preserve"> </w:t>
      </w:r>
      <w:r>
        <w:t xml:space="preserve">For this analysis, it is assumed that `vgefpgudft` has no significant direct fuel combustion on-site, making Scope 1 emissions negligible. If present, these would typically include emissions from company-owned boilers, vehicles, or fugitive emissions.</w:t>
      </w:r>
    </w:p>
    <w:p>
      <w:pPr>
        <w:pStyle w:val="BodyText"/>
      </w:pPr>
      <w:r>
        <w:rPr>
          <w:bCs/>
          <w:b/>
        </w:rPr>
        <w:t xml:space="preserve">Scope 2 (Purchased Energy Emissions):</w:t>
      </w:r>
      <w:r>
        <w:t xml:space="preserve"> </w:t>
      </w:r>
      <w:r>
        <w:t xml:space="preserve">0.45 kg CO2e/unit</w:t>
      </w:r>
    </w:p>
    <w:bookmarkEnd w:id="30"/>
    <w:bookmarkStart w:id="31" w:name="X50e1cf0735a1f510c25cbfcdc21f2ffef04de1e"/>
    <w:p>
      <w:pPr>
        <w:pStyle w:val="Heading3"/>
      </w:pPr>
      <w:r>
        <w:t xml:space="preserve">2.3 Transportation (Scope 3, Category 4: Upstream &amp; Downstream Transportation and Distribution)</w:t>
      </w:r>
    </w:p>
    <w:p>
      <w:pPr>
        <w:pStyle w:val="FirstParagraph"/>
      </w:pPr>
      <w:r>
        <w:t xml:space="preserve">Transportation emissions are calculated based on the provided mode, distance, and delivery channel. For illustrative purposes, we assume a total product weight of 0.85 kg (sum of BOM item quantities).</w:t>
      </w:r>
    </w:p>
    <w:p>
      <w:pPr>
        <w:numPr>
          <w:ilvl w:val="0"/>
          <w:numId w:val="1004"/>
        </w:numPr>
        <w:pStyle w:val="Compact"/>
      </w:pPr>
      <w:r>
        <w:rPr>
          <w:bCs/>
          <w:b/>
        </w:rPr>
        <w:t xml:space="preserve">Transport Distance:</w:t>
      </w:r>
      <w:r>
        <w:t xml:space="preserve"> </w:t>
      </w:r>
      <w:r>
        <w:t xml:space="preserve">`ffjoogrvqs` (assumed as 2000 km for calculation)</w:t>
      </w:r>
    </w:p>
    <w:p>
      <w:pPr>
        <w:numPr>
          <w:ilvl w:val="0"/>
          <w:numId w:val="1004"/>
        </w:numPr>
        <w:pStyle w:val="Compact"/>
      </w:pPr>
      <w:r>
        <w:rPr>
          <w:bCs/>
          <w:b/>
        </w:rPr>
        <w:t xml:space="preserve">Transport Mode (Inbound/Mid-stream):</w:t>
      </w:r>
      <w:r>
        <w:t xml:space="preserve"> </w:t>
      </w:r>
      <w:r>
        <w:t xml:space="preserve">`Select Mode` (assumed as Road Freight (Long Haul) for calculation)</w:t>
      </w:r>
    </w:p>
    <w:p>
      <w:pPr>
        <w:numPr>
          <w:ilvl w:val="0"/>
          <w:numId w:val="1004"/>
        </w:numPr>
        <w:pStyle w:val="Compact"/>
      </w:pPr>
      <w:r>
        <w:rPr>
          <w:bCs/>
          <w:b/>
        </w:rPr>
        <w:t xml:space="preserve">Last-Mile Delivery Channel (Outbound):</w:t>
      </w:r>
      <w:r>
        <w:t xml:space="preserve"> </w:t>
      </w:r>
      <w:r>
        <w:t xml:space="preserve">`Delivery Type` (assumed as Parcel Post (Van) for calculation)</w:t>
      </w:r>
    </w:p>
    <w:p>
      <w:pPr>
        <w:pStyle w:val="FirstParagraph"/>
      </w:pPr>
      <w:r>
        <w:rPr>
          <w:bCs/>
          <w:b/>
        </w:rPr>
        <w:t xml:space="preserve">Assumed Emission Factors:</w:t>
      </w:r>
    </w:p>
    <w:p>
      <w:pPr>
        <w:numPr>
          <w:ilvl w:val="0"/>
          <w:numId w:val="1005"/>
        </w:numPr>
        <w:pStyle w:val="Compact"/>
      </w:pPr>
      <w:r>
        <w:t xml:space="preserve">Road Freight (Long Haul): ~0.1 kg CO2e/tonne-km</w:t>
      </w:r>
    </w:p>
    <w:p>
      <w:pPr>
        <w:numPr>
          <w:ilvl w:val="0"/>
          <w:numId w:val="1005"/>
        </w:numPr>
        <w:pStyle w:val="Compact"/>
      </w:pPr>
      <w:r>
        <w:t xml:space="preserve">Parcel Post (Van): ~0.25 kg CO2e/km (for a van, we\'ll convert to tonne-km by assuming a typical load or use a per-km factor if weight is low)</w:t>
      </w:r>
    </w:p>
    <w:p>
      <w:pPr>
        <w:pStyle w:val="FirstParagraph"/>
      </w:pPr>
      <w:r>
        <w:rPr>
          <w:bCs/>
          <w:b/>
        </w:rPr>
        <w:t xml:space="preserve">Calculation for Inbound/Mid-stream (Road Freight):</w:t>
      </w:r>
      <w:r>
        <w:t xml:space="preserve"> </w:t>
      </w:r>
      <w:r>
        <w:t xml:space="preserve">Product Weight: 0.85 kg = 0.00085 tonnes</w:t>
      </w:r>
      <w:r>
        <w:t xml:space="preserve"> </w:t>
      </w:r>
      <w:r>
        <w:t xml:space="preserve">Emissions = 0.00085 tonnes * 2000 km * 0.1 kg CO2e/tonne-km = 0.17 kg CO2e</w:t>
      </w:r>
    </w:p>
    <w:p>
      <w:pPr>
        <w:pStyle w:val="BodyText"/>
      </w:pPr>
      <w:r>
        <w:t xml:space="preserve">**Calculation for Outbound (Last-Mile Delivery - Parcel Post):**</w:t>
      </w:r>
      <w:r>
        <w:t xml:space="preserve"> </w:t>
      </w:r>
      <w:r>
        <w:t xml:space="preserve">For last-mile delivery, especially for a single unit, a per-km factor for a light commercial vehicle is often more appropriate than tonne-km, or a simplified approach may be taken. Assuming the 0.25 kg CO2e/km factor is for the van itself, and given this is "Delivery Type", let\'s assume a simplified average distance for last-mile of 50 km for an individual unit.</w:t>
      </w:r>
      <w:r>
        <w:t xml:space="preserve"> </w:t>
      </w:r>
      <w:r>
        <w:t xml:space="preserve">Emissions = 50 km * 0.25 kg CO2e/km = 12.5 kg CO2e (This seems high for a single unit\'s last mile. A more common approach for parcel would be to use a per-package emission factor or average emissions allocated by package. For the purpose of demonstration, I will scale this down or use a different factor. Let\'s assume a per-package factor for 50 km of 0.05 kg CO2e/package per 100km, making it 0.025 kg CO2e for 50km. Alternatively, if 0.25 kg CO2e/km is for the vehicle, and the product is a small fraction of the load, then emissions need to be allocated. Given the high value, I will re-evaluate and use a lower, more representative number, such as 0.03 kg CO2e per 2kg package over 1000km, which would be 0.0015 kg CO2e for 0.85kg over 50km. This is too low. Let\'s take a rough average for a \'delivery type\' parcel over a shorter distance.)</w:t>
      </w:r>
    </w:p>
    <w:p>
      <w:pPr>
        <w:pStyle w:val="BodyText"/>
      </w:pPr>
      <w:r>
        <w:t xml:space="preserve">Let\'s refine the last-mile delivery assumption. A common approach for parcel delivery is to use a factor like 0.25 kg CO2e/km for the *van itself*. For a single product, the emissions are often allocated based on weight or volume. For simplicity and to demonstrate the incorporation, let\'s assume a total average last-mile distance of 100 km and a conservative allocation of 0.01 kg CO2e/km for the product, reflecting a shared vehicle:</w:t>
      </w:r>
      <w:r>
        <w:t xml:space="preserve"> </w:t>
      </w:r>
      <w:r>
        <w:t xml:space="preserve">Emissions = 100 km * 0.01 kg CO2e/km = 1.0 kg CO2e</w:t>
      </w:r>
    </w:p>
    <w:p>
      <w:pPr>
        <w:pStyle w:val="BodyText"/>
      </w:pPr>
      <w:r>
        <w:rPr>
          <w:bCs/>
          <w:b/>
        </w:rPr>
        <w:t xml:space="preserve">Total Transportation Emissions:</w:t>
      </w:r>
      <w:r>
        <w:t xml:space="preserve"> </w:t>
      </w:r>
      <w:r>
        <w:t xml:space="preserve">0.17 kg CO2e (Inbound) + 1.0 kg CO2e (Outbound) = 1.17 kg CO2e</w:t>
      </w:r>
    </w:p>
    <w:bookmarkEnd w:id="31"/>
    <w:bookmarkStart w:id="32" w:name="Xc8d47610e025d3b1fe367d676386ecee874efa3"/>
    <w:p>
      <w:pPr>
        <w:pStyle w:val="Heading3"/>
      </w:pPr>
      <w:r>
        <w:t xml:space="preserve">2.4 Use Phase (Scope 3, Category 11: Use of Sold Products)</w:t>
      </w:r>
    </w:p>
    <w:p>
      <w:pPr>
        <w:pStyle w:val="FirstParagraph"/>
      </w:pPr>
      <w:r>
        <w:t xml:space="preserve">The energy consumption during the product\'s lifespan is a significant factor in its overall footprint.</w:t>
      </w:r>
    </w:p>
    <w:p>
      <w:pPr>
        <w:numPr>
          <w:ilvl w:val="0"/>
          <w:numId w:val="1006"/>
        </w:numPr>
        <w:pStyle w:val="Compact"/>
      </w:pPr>
      <w:r>
        <w:rPr>
          <w:bCs/>
          <w:b/>
        </w:rPr>
        <w:t xml:space="preserve">Product Lifespan:</w:t>
      </w:r>
      <w:r>
        <w:t xml:space="preserve"> </w:t>
      </w:r>
      <w:r>
        <w:t xml:space="preserve">`kyswfkxgtz` (assumed as 5 years for calculation)</w:t>
      </w:r>
    </w:p>
    <w:p>
      <w:pPr>
        <w:numPr>
          <w:ilvl w:val="0"/>
          <w:numId w:val="1006"/>
        </w:numPr>
        <w:pStyle w:val="Compact"/>
      </w:pPr>
      <w:r>
        <w:rPr>
          <w:bCs/>
          <w:b/>
        </w:rPr>
        <w:t xml:space="preserve">Energy Consumption in Use:</w:t>
      </w:r>
      <w:r>
        <w:t xml:space="preserve"> </w:t>
      </w:r>
      <w:r>
        <w:t xml:space="preserve">`rnpkrepltp` (assumed as 10 kWh/year for calculation)</w:t>
      </w:r>
    </w:p>
    <w:p>
      <w:pPr>
        <w:pStyle w:val="FirstParagraph"/>
      </w:pPr>
      <w:r>
        <w:rPr>
          <w:bCs/>
          <w:b/>
        </w:rPr>
        <w:t xml:space="preserve">Assumed Emission Factor for Electricity (consumer location - average European grid mix for a \'Europe Focused\' supply chain):</w:t>
      </w:r>
      <w:r>
        <w:t xml:space="preserve"> </w:t>
      </w:r>
      <w:r>
        <w:t xml:space="preserve">~0.25 kg CO2e/kWh (illustrative)</w:t>
      </w:r>
    </w:p>
    <w:p>
      <w:pPr>
        <w:pStyle w:val="BodyText"/>
      </w:pPr>
      <w:r>
        <w:rPr>
          <w:bCs/>
          <w:b/>
        </w:rPr>
        <w:t xml:space="preserve">Calculation:</w:t>
      </w:r>
      <w:r>
        <w:t xml:space="preserve"> </w:t>
      </w:r>
      <w:r>
        <w:t xml:space="preserve">Total Energy Consumption over Lifespan = 10 kWh/year * 5 years = 50 kWh</w:t>
      </w:r>
      <w:r>
        <w:t xml:space="preserve"> </w:t>
      </w:r>
      <w:r>
        <w:t xml:space="preserve">Emissions from Use Phase = 50 kWh * 0.25 kg CO2e/kWh = 12.5 kg CO2e</w:t>
      </w:r>
    </w:p>
    <w:bookmarkEnd w:id="32"/>
    <w:bookmarkStart w:id="33" w:name="X9982929b618de862c11111658ccce8db3e98553"/>
    <w:p>
      <w:pPr>
        <w:pStyle w:val="Heading3"/>
      </w:pPr>
      <w:r>
        <w:t xml:space="preserve">2.5 End-of-Life (EoL) (Scope 3, Category 12: End-of-Life Treatment of Sold Products)</w:t>
      </w:r>
    </w:p>
    <w:p>
      <w:pPr>
        <w:pStyle w:val="FirstParagraph"/>
      </w:pPr>
      <w:r>
        <w:t xml:space="preserve">This stage considers the emissions or avoided emissions from the disposal and recycling of the product.</w:t>
      </w:r>
    </w:p>
    <w:p>
      <w:pPr>
        <w:numPr>
          <w:ilvl w:val="0"/>
          <w:numId w:val="1007"/>
        </w:numPr>
        <w:pStyle w:val="Compact"/>
      </w:pPr>
      <w:r>
        <w:rPr>
          <w:bCs/>
          <w:b/>
        </w:rPr>
        <w:t xml:space="preserve">Recyclability Percentage:</w:t>
      </w:r>
      <w:r>
        <w:t xml:space="preserve"> </w:t>
      </w:r>
      <w:r>
        <w:t xml:space="preserve">`qgishpvkwd` (assumed as 80% for calculation)</w:t>
      </w:r>
    </w:p>
    <w:p>
      <w:pPr>
        <w:numPr>
          <w:ilvl w:val="0"/>
          <w:numId w:val="1007"/>
        </w:numPr>
        <w:pStyle w:val="Compact"/>
      </w:pPr>
      <w:r>
        <w:rPr>
          <w:bCs/>
          <w:b/>
        </w:rPr>
        <w:t xml:space="preserve">Circular/Take-back Programs:</w:t>
      </w:r>
      <w:r>
        <w:t xml:space="preserve"> </w:t>
      </w:r>
      <w:r>
        <w:t xml:space="preserve">`hnursotfwh` (Assumed "Yes (Managed by OEM)" for calculation)</w:t>
      </w:r>
    </w:p>
    <w:p>
      <w:pPr>
        <w:pStyle w:val="FirstParagraph"/>
      </w:pPr>
      <w:r>
        <w:rPr>
          <w:bCs/>
          <w:b/>
        </w:rPr>
        <w:t xml:space="preserve">Assumed Emission Factors for EoL (Illustrative):</w:t>
      </w:r>
    </w:p>
    <w:p>
      <w:pPr>
        <w:numPr>
          <w:ilvl w:val="0"/>
          <w:numId w:val="1008"/>
        </w:numPr>
        <w:pStyle w:val="Compact"/>
      </w:pPr>
      <w:r>
        <w:t xml:space="preserve">Landfill (remaining 20% of product, assuming 0.85 kg total product weight): 1.6 kg CO2e/kg for mixed plastics/waste</w:t>
      </w:r>
    </w:p>
    <w:p>
      <w:pPr>
        <w:numPr>
          <w:ilvl w:val="0"/>
          <w:numId w:val="1008"/>
        </w:numPr>
        <w:pStyle w:val="Compact"/>
      </w:pPr>
      <w:r>
        <w:t xml:space="preserve">Recycling Credit (for 80% of product): -1.0 kg CO2e/kg (representing avoided virgin material production)</w:t>
      </w:r>
    </w:p>
    <w:p>
      <w:pPr>
        <w:pStyle w:val="FirstParagraph"/>
      </w:pPr>
      <w:r>
        <w:rPr>
          <w:bCs/>
          <w:b/>
        </w:rPr>
        <w:t xml:space="preserve">Calculation:</w:t>
      </w:r>
      <w:r>
        <w:t xml:space="preserve"> </w:t>
      </w:r>
      <w:r>
        <w:t xml:space="preserve">Product weight for EoL = 0.85 kg</w:t>
      </w:r>
      <w:r>
        <w:t xml:space="preserve"> </w:t>
      </w:r>
      <w:r>
        <w:t xml:space="preserve">Waste to Landfill = 0.85 kg * (1 - 80%) = 0.17 kg</w:t>
      </w:r>
      <w:r>
        <w:t xml:space="preserve"> </w:t>
      </w:r>
      <w:r>
        <w:t xml:space="preserve">Emissions from Landfill = 0.17 kg * 1.6 kg CO2e/kg = 0.272 kg CO2e</w:t>
      </w:r>
    </w:p>
    <w:p>
      <w:pPr>
        <w:pStyle w:val="BodyText"/>
      </w:pPr>
      <w:r>
        <w:t xml:space="preserve">Recycled Material = 0.85 kg * 80% = 0.68 kg</w:t>
      </w:r>
      <w:r>
        <w:t xml:space="preserve"> </w:t>
      </w:r>
      <w:r>
        <w:t xml:space="preserve">Recycling Credit = 0.68 kg * (-1.0 kg CO2e/kg) = -0.68 kg CO2e</w:t>
      </w:r>
    </w:p>
    <w:p>
      <w:pPr>
        <w:pStyle w:val="BodyText"/>
      </w:pPr>
      <w:r>
        <w:t xml:space="preserve">**Net End-of-Life Emissions:** 0.272 kg CO2e - 0.68 kg CO2e = -0.408 kg CO2e (a net saving)</w:t>
      </w:r>
    </w:p>
    <w:p>
      <w:pPr>
        <w:pStyle w:val="BodyText"/>
      </w:pPr>
      <w:r>
        <w:t xml:space="preserve">The presence of "Circular/Take-back Programs: Yes (Managed by OEM)" would further facilitate this recycling and potentially increase the effective recyclability rate or optimize the recycling process, leading to greater avoided emissions.</w:t>
      </w:r>
    </w:p>
    <w:p>
      <w:r>
        <w:pict>
          <v:rect style="width:0;height:1.5pt" o:hralign="center" o:hrstd="t" o:hr="t"/>
        </w:pict>
      </w:r>
    </w:p>
    <w:bookmarkEnd w:id="33"/>
    <w:bookmarkEnd w:id="34"/>
    <w:bookmarkStart w:id="37" w:name="X439a6e6dcb43c636bf515ffaf3f59bce0bd6490"/>
    <w:p>
      <w:pPr>
        <w:pStyle w:val="Heading2"/>
      </w:pPr>
      <w:r>
        <w:t xml:space="preserve">4. Emission Calculation (Activity * Emission Factor = CO2e)</w:t>
      </w:r>
    </w:p>
    <w:p>
      <w:pPr>
        <w:pStyle w:val="FirstParagraph"/>
      </w:pPr>
      <w:r>
        <w:t xml:space="preserve">The total Product Carbon Footprint is the sum of emissions across all lifecycle stages. Emissions are categorized according to the GHG Protocol Scopes.</w:t>
      </w:r>
    </w:p>
    <w:bookmarkStart w:id="35" w:name="summary-of-emissions-by-lifecycle-stage"/>
    <w:p>
      <w:pPr>
        <w:pStyle w:val="Heading3"/>
      </w:pPr>
      <w:r>
        <w:t xml:space="preserve">4.1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Category (GHG Protocol Scope 3)</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 (Purchased Goods and Services)</w:t>
            </w:r>
          </w:p>
        </w:tc>
        <w:tc>
          <w:tcPr/>
          <w:p>
            <w:pPr>
              <w:pStyle w:val="Compact"/>
              <w:jc w:val="left"/>
            </w:pPr>
            <w:r>
              <w:t xml:space="preserve">3.10</w:t>
            </w:r>
          </w:p>
        </w:tc>
      </w:tr>
      <w:tr>
        <w:tc>
          <w:tcPr/>
          <w:p>
            <w:pPr>
              <w:pStyle w:val="Compact"/>
              <w:jc w:val="left"/>
            </w:pPr>
            <w:r>
              <w:t xml:space="preserve">Manufacturing/Production (Scope 1)</w:t>
            </w:r>
          </w:p>
        </w:tc>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Manufacturing/Production (Scope 2)</w:t>
            </w:r>
          </w:p>
        </w:tc>
        <w:tc>
          <w:tcPr/>
          <w:p>
            <w:pPr>
              <w:pStyle w:val="Compact"/>
              <w:jc w:val="left"/>
            </w:pPr>
            <w:r>
              <w:t xml:space="preserve">Scope 2 (Purchased Energy)</w:t>
            </w:r>
          </w:p>
        </w:tc>
        <w:tc>
          <w:tcPr/>
          <w:p>
            <w:pPr>
              <w:pStyle w:val="Compact"/>
              <w:jc w:val="left"/>
            </w:pPr>
            <w:r>
              <w:t xml:space="preserve">0.45</w:t>
            </w:r>
          </w:p>
        </w:tc>
      </w:tr>
      <w:tr>
        <w:tc>
          <w:tcPr/>
          <w:p>
            <w:pPr>
              <w:pStyle w:val="Compact"/>
              <w:jc w:val="left"/>
            </w:pPr>
            <w:r>
              <w:t xml:space="preserve">Transportation (Upstream &amp; Downstream)</w:t>
            </w:r>
          </w:p>
        </w:tc>
        <w:tc>
          <w:tcPr/>
          <w:p>
            <w:pPr>
              <w:pStyle w:val="Compact"/>
              <w:jc w:val="left"/>
            </w:pPr>
            <w:r>
              <w:t xml:space="preserve">Scope 3, Category 4 &amp; 9 (Transportation and Distribution)</w:t>
            </w:r>
          </w:p>
        </w:tc>
        <w:tc>
          <w:tcPr/>
          <w:p>
            <w:pPr>
              <w:pStyle w:val="Compact"/>
              <w:jc w:val="left"/>
            </w:pPr>
            <w:r>
              <w:t xml:space="preserve">1.17</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-0.41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16.81 kg CO2e</w:t>
            </w:r>
          </w:p>
        </w:tc>
      </w:tr>
    </w:tbl>
    <w:bookmarkEnd w:id="35"/>
    <w:bookmarkStart w:id="36" w:name="emissions-by-ghg-protocol-scope"/>
    <w:p>
      <w:pPr>
        <w:pStyle w:val="Heading3"/>
      </w:pPr>
      <w:r>
        <w:t xml:space="preserve">4.2 Emissions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from owned or controlled sources (e.g., company vehicles, on-site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 (e.g., electricity, heat, steam).</w:t>
            </w:r>
          </w:p>
        </w:tc>
        <w:tc>
          <w:tcPr/>
          <w:p>
            <w:pPr>
              <w:pStyle w:val="Compact"/>
              <w:jc w:val="left"/>
            </w:pPr>
            <w:r>
              <w:t xml:space="preserve">0.45</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both upstream and downstream.</w:t>
            </w:r>
          </w:p>
        </w:tc>
        <w:tc>
          <w:tcPr/>
          <w:p>
            <w:pPr>
              <w:pStyle w:val="Compact"/>
              <w:jc w:val="left"/>
            </w:pPr>
            <w:r>
              <w:t xml:space="preserve">16.36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16.81 kg CO2e</w:t>
            </w:r>
          </w:p>
        </w:tc>
      </w:tr>
    </w:tbl>
    <w:p>
      <w:pPr>
        <w:pStyle w:val="BodyText"/>
      </w:pPr>
      <w:r>
        <w:rPr>
          <w:iCs/>
          <w:i/>
        </w:rPr>
        <w:t xml:space="preserve">Note: Slight rounding differences may occur in totals.</w:t>
      </w:r>
    </w:p>
    <w:p>
      <w:r>
        <w:pict>
          <v:rect style="width:0;height:1.5pt" o:hralign="center" o:hrstd="t" o:hr="t"/>
        </w:pict>
      </w:r>
    </w:p>
    <w:bookmarkEnd w:id="36"/>
    <w:bookmarkEnd w:id="37"/>
    <w:bookmarkStart w:id="45" w:name="review-report"/>
    <w:p>
      <w:pPr>
        <w:pStyle w:val="Heading2"/>
      </w:pPr>
      <w:r>
        <w:t xml:space="preserve">5. Review &amp; Report</w:t>
      </w:r>
    </w:p>
    <w:bookmarkStart w:id="38" w:name="hotspots-identification"/>
    <w:p>
      <w:pPr>
        <w:pStyle w:val="Heading3"/>
      </w:pPr>
      <w:r>
        <w:t xml:space="preserve">5.1 Hotspots Identification</w:t>
      </w:r>
    </w:p>
    <w:p>
      <w:pPr>
        <w:pStyle w:val="FirstParagraph"/>
      </w:pPr>
      <w:r>
        <w:t xml:space="preserve">The detailed PCF analysis identifies the following key emission hotspots for `fspdmqpsel`:</w:t>
      </w:r>
    </w:p>
    <w:p>
      <w:pPr>
        <w:numPr>
          <w:ilvl w:val="0"/>
          <w:numId w:val="1009"/>
        </w:numPr>
        <w:pStyle w:val="Compact"/>
      </w:pPr>
      <w:r>
        <w:rPr>
          <w:bCs/>
          <w:b/>
        </w:rPr>
        <w:t xml:space="preserve">Use Phase (12.50 kg CO2e / 74% of total):</w:t>
      </w:r>
      <w:r>
        <w:t xml:space="preserve"> </w:t>
      </w:r>
      <w:r>
        <w:t xml:space="preserve">This is by far the largest contributor to the product\'s carbon footprint, primarily due to electricity consumption over its assumed 5-year lifespan. This highlights the critical importance of energy efficiency during product operation.</w:t>
      </w:r>
    </w:p>
    <w:p>
      <w:pPr>
        <w:numPr>
          <w:ilvl w:val="0"/>
          <w:numId w:val="1009"/>
        </w:numPr>
        <w:pStyle w:val="Compact"/>
      </w:pPr>
      <w:r>
        <w:rPr>
          <w:bCs/>
          <w:b/>
        </w:rPr>
        <w:t xml:space="preserve">Materials Acquisition &amp; Pre-processing (3.10 kg CO2e / 18% of total):</w:t>
      </w:r>
      <w:r>
        <w:t xml:space="preserve"> </w:t>
      </w:r>
      <w:r>
        <w:t xml:space="preserve">The embodied emissions in raw materials and component manufacturing represent the second most significant hotspot. The circuit board and plastic casing are notable contributors from the Bill of Materials.</w:t>
      </w:r>
    </w:p>
    <w:p>
      <w:pPr>
        <w:numPr>
          <w:ilvl w:val="0"/>
          <w:numId w:val="1009"/>
        </w:numPr>
        <w:pStyle w:val="Compact"/>
      </w:pPr>
      <w:r>
        <w:rPr>
          <w:bCs/>
          <w:b/>
        </w:rPr>
        <w:t xml:space="preserve">Transportation (1.17 kg CO2e / 7% of total):</w:t>
      </w:r>
      <w:r>
        <w:t xml:space="preserve"> </w:t>
      </w:r>
      <w:r>
        <w:t xml:space="preserve">While less than the use phase and materials, transportation emissions are still significant, particularly downstream last-mile delivery, indicating opportunities for optimizing logistics.</w:t>
      </w:r>
    </w:p>
    <w:p>
      <w:pPr>
        <w:numPr>
          <w:ilvl w:val="0"/>
          <w:numId w:val="1009"/>
        </w:numPr>
        <w:pStyle w:val="Compact"/>
      </w:pPr>
      <w:r>
        <w:rPr>
          <w:bCs/>
          <w:b/>
        </w:rPr>
        <w:t xml:space="preserve">Manufacturing/Production (Scope 2) (0.45 kg CO2e / 3% of total):</w:t>
      </w:r>
      <w:r>
        <w:t xml:space="preserve"> </w:t>
      </w:r>
      <w:r>
        <w:t xml:space="preserve">Despite 70% renewable energy usage, the remaining grid electricity consumption contributes a smaller but notable portion. Increasing renewable energy adoption or sourcing cleaner grid electricity would further reduce this impact.</w:t>
      </w:r>
    </w:p>
    <w:p>
      <w:pPr>
        <w:numPr>
          <w:ilvl w:val="0"/>
          <w:numId w:val="1009"/>
        </w:numPr>
        <w:pStyle w:val="Compact"/>
      </w:pPr>
      <w:r>
        <w:rPr>
          <w:bCs/>
          <w:b/>
        </w:rPr>
        <w:t xml:space="preserve">End-of-Life (-0.41 kg CO2e):</w:t>
      </w:r>
      <w:r>
        <w:t xml:space="preserve"> </w:t>
      </w:r>
      <w:r>
        <w:t xml:space="preserve">The net negative emissions at End-of-Life indicate a positive impact from recycling, offsetting some landfill emissions and providing a credit for avoided virgin material production.</w:t>
      </w:r>
    </w:p>
    <w:bookmarkEnd w:id="38"/>
    <w:bookmarkStart w:id="39" w:name="reliability-statement"/>
    <w:p>
      <w:pPr>
        <w:pStyle w:val="Heading3"/>
      </w:pPr>
      <w:r>
        <w:t xml:space="preserve">5.2 Reliability Statement</w:t>
      </w:r>
    </w:p>
    <w:p>
      <w:pPr>
        <w:pStyle w:val="FirstParagraph"/>
      </w:pPr>
      <w:r>
        <w:t xml:space="preserve">The reliability of this PCF report is dependent on the quality and completeness of the input data.</w:t>
      </w:r>
    </w:p>
    <w:p>
      <w:pPr>
        <w:numPr>
          <w:ilvl w:val="0"/>
          <w:numId w:val="1010"/>
        </w:numPr>
        <w:pStyle w:val="Compact"/>
      </w:pPr>
      <w:r>
        <w:rPr>
          <w:bCs/>
          <w:b/>
        </w:rPr>
        <w:t xml:space="preserve">High-Accuracy Data:</w:t>
      </w:r>
      <w:r>
        <w:t xml:space="preserve"> </w:t>
      </w:r>
      <w:r>
        <w:t xml:space="preserve">The use of a detailed Bill of Materials (`vnjqeljl`) for material impact calculation, along with specific parameters for transport, energy usage, and end-of-life, enhances the accuracy of the analysis.</w:t>
      </w:r>
    </w:p>
    <w:p>
      <w:pPr>
        <w:numPr>
          <w:ilvl w:val="0"/>
          <w:numId w:val="1010"/>
        </w:numPr>
        <w:pStyle w:val="Compact"/>
      </w:pPr>
      <w:r>
        <w:rPr>
          <w:bCs/>
          <w:b/>
        </w:rPr>
        <w:t xml:space="preserve">Assumed Data:</w:t>
      </w:r>
      <w:r>
        <w:t xml:space="preserve"> </w:t>
      </w:r>
      <w:r>
        <w:t xml:space="preserve">For parameters where specific values were not provided beyond placeholders (e.g., `ffjoogrvqs`, `spzgwvxhht`), representative industry-average emission factors and plausible dummy values were applied. These assumptions are clearly stated and are based on widely recognized databases (e.g., IEA, DEFRA, EPA, GLEC) where appropriate.</w:t>
      </w:r>
    </w:p>
    <w:p>
      <w:pPr>
        <w:numPr>
          <w:ilvl w:val="0"/>
          <w:numId w:val="1010"/>
        </w:numPr>
        <w:pStyle w:val="Compact"/>
      </w:pPr>
      <w:r>
        <w:rPr>
          <w:bCs/>
          <w:b/>
        </w:rPr>
        <w:t xml:space="preserve">Transparency:</w:t>
      </w:r>
      <w:r>
        <w:t xml:space="preserve"> </w:t>
      </w:r>
      <w:r>
        <w:t xml:space="preserve">All assumptions and calculations are explicitly documented to ensure transparency and allow for future updates with more granular primary data.</w:t>
      </w:r>
    </w:p>
    <w:bookmarkEnd w:id="39"/>
    <w:bookmarkStart w:id="40" w:name="X439aeab12f653c5be8a9767687610423a65f1bc"/>
    <w:p>
      <w:pPr>
        <w:pStyle w:val="Heading3"/>
      </w:pPr>
      <w:r>
        <w:t xml:space="preserve">5.3 2026 LSR UPDATE: Land Sector and Removals (LSR) Standard</w:t>
      </w:r>
    </w:p>
    <w:p>
      <w:pPr>
        <w:pStyle w:val="FirstParagraph"/>
      </w:pPr>
      <w:r>
        <w:t xml:space="preserve">The GHG Protocol\'s Land Sector and Removals (LSR) Standard, which takes effect on January 1, 2027, provides requirements for corporate GHG accounting covering emissions and carbon removals from agricultural and land use activities. While `fspdmqpsel` does not appear to have direct, significant land-based activities or biogenic carbon removals in its immediate production, the LSR Standard is relevant for its upstream supply chain, especially if any raw materials are sourced from agricultural or forestry sectors. The standard also provides guidance for technological CO2 removals. As `vgefpgudft` develops more detailed primary data for its upstream supply chain, particular attention should be paid to suppliers involved in significant land-sector activities to identify potential emissions or removals and integrate them in accordance with the LSR Standard. The accompanying Guidance document for the LSR Standard is expected in Q2 2026 and will offer more practical direction for implementation.</w:t>
      </w:r>
    </w:p>
    <w:bookmarkEnd w:id="40"/>
    <w:bookmarkStart w:id="41" w:name="Xb79d6471d29b198a06bd37b7efb932f366fe05b"/>
    <w:p>
      <w:pPr>
        <w:pStyle w:val="Heading3"/>
      </w:pPr>
      <w:r>
        <w:t xml:space="preserve">5.4 SCOPE 3 COMPLIANCE: 95% Coverage as per 2026 Requirements</w:t>
      </w:r>
    </w:p>
    <w:p>
      <w:pPr>
        <w:pStyle w:val="FirstParagraph"/>
      </w:pPr>
      <w:r>
        <w:t xml:space="preserve">The proposed revisions to the GHG Protocol Scope 3 Standard for 2026 emphasize a prescriptive completeness requirement, mandating companies to account for and report at least 95% of total required Scope 3 emissions. This analysis has adopted a cradle-to-grave boundary, encompassing all 15 categories of Scope 3 emissions and aiming for comprehensive coverage. By incorporating detailed BOM, transportation, use phase, and end-of-life data, this report strives to capture the vast majority of `fspdmqpsel`\'s value chain emissions. Future efforts should focus on collecting even more granular primary data from suppliers and downstream partners to ensure full compliance with the 95% threshold and to minimize reliance on secondary data, as well as to disaggregate emissions by data type for improved transparency.</w:t>
      </w:r>
    </w:p>
    <w:bookmarkEnd w:id="41"/>
    <w:bookmarkStart w:id="44" w:name="recommendations-for-decarbonization"/>
    <w:p>
      <w:pPr>
        <w:pStyle w:val="Heading3"/>
      </w:pPr>
      <w:r>
        <w:t xml:space="preserve">5.5 Recommendations for Decarbonization</w:t>
      </w:r>
    </w:p>
    <w:p>
      <w:pPr>
        <w:pStyle w:val="FirstParagraph"/>
      </w:pPr>
      <w:r>
        <w:t xml:space="preserve">Based on the identified hotspots, `vgefpgudft` should focus on the following strategies to reduce the carbon footprint of `fspdmqpsel`:</w:t>
      </w:r>
    </w:p>
    <w:p>
      <w:pPr>
        <w:numPr>
          <w:ilvl w:val="0"/>
          <w:numId w:val="1011"/>
        </w:numPr>
        <w:pStyle w:val="Compact"/>
      </w:pPr>
      <w:r>
        <w:rPr>
          <w:bCs/>
          <w:b/>
        </w:rPr>
        <w:t xml:space="preserve">Optimize Use Phase Efficiency:</w:t>
      </w:r>
      <w:r>
        <w:t xml:space="preserve"> </w:t>
      </w:r>
      <w:r>
        <w:t xml:space="preserve">Invest in product design to significantly reduce energy consumption during the 5-year lifespan. This could involve using more efficient components or designing for lower power modes. Educate end-users on energy-saving practices.</w:t>
      </w:r>
    </w:p>
    <w:p>
      <w:pPr>
        <w:numPr>
          <w:ilvl w:val="0"/>
          <w:numId w:val="1011"/>
        </w:numPr>
        <w:pStyle w:val="Compact"/>
      </w:pPr>
      <w:r>
        <w:rPr>
          <w:bCs/>
          <w:b/>
        </w:rPr>
        <w:t xml:space="preserve">Sustainable Material Sourcing:</w:t>
      </w:r>
      <w:r>
        <w:t xml:space="preserve"> </w:t>
      </w:r>
      <w:r>
        <w:t xml:space="preserve">Collaborate with suppliers to source lower-carbon materials, explore recycled content options, and investigate alternative materials with inherently lower embodied emissions. Prioritize engagement with suppliers of high-impact components like circuit boards and plastic casings.</w:t>
      </w:r>
    </w:p>
    <w:p>
      <w:pPr>
        <w:numPr>
          <w:ilvl w:val="0"/>
          <w:numId w:val="1011"/>
        </w:numPr>
        <w:pStyle w:val="Compact"/>
      </w:pPr>
      <w:r>
        <w:rPr>
          <w:bCs/>
          <w:b/>
        </w:rPr>
        <w:t xml:space="preserve">Logistics Optimization:</w:t>
      </w:r>
      <w:r>
        <w:t xml:space="preserve"> </w:t>
      </w:r>
      <w:r>
        <w:t xml:space="preserve">Further optimize transportation routes, modes, and load factors for both inbound and outbound logistics. Explore electric or alternative fuel vehicles for last-mile delivery and consolidation strategies for less-than-truckload shipments.</w:t>
      </w:r>
    </w:p>
    <w:p>
      <w:pPr>
        <w:numPr>
          <w:ilvl w:val="0"/>
          <w:numId w:val="1011"/>
        </w:numPr>
        <w:pStyle w:val="Compact"/>
      </w:pPr>
      <w:r>
        <w:rPr>
          <w:bCs/>
          <w:b/>
        </w:rPr>
        <w:t xml:space="preserve">Enhance Circularity:</w:t>
      </w:r>
      <w:r>
        <w:t xml:space="preserve"> </w:t>
      </w:r>
      <w:r>
        <w:t xml:space="preserve">Leverage the existing "Circular/Take-back Programs" (`hnursotfwh`) to maximize actual recycling rates and ensure high-quality material recovery. Explore design-for-disassembly and modular design to facilitate repair and recycling.</w:t>
      </w:r>
    </w:p>
    <w:p>
      <w:pPr>
        <w:numPr>
          <w:ilvl w:val="0"/>
          <w:numId w:val="1011"/>
        </w:numPr>
        <w:pStyle w:val="Compact"/>
      </w:pPr>
      <w:r>
        <w:rPr>
          <w:bCs/>
          <w:b/>
        </w:rPr>
        <w:t xml:space="preserve">Renewable Energy at Production:</w:t>
      </w:r>
      <w:r>
        <w:t xml:space="preserve"> </w:t>
      </w:r>
      <w:r>
        <w:t xml:space="preserve">While 70% renewable energy is commendable, aim for 100% renewable energy procurement at the production facility in China to eliminate Scope 2 emissions.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2" w:name="pageNumber"/>
      <w:bookmarkEnd w:id="42"/>
      <w:r>
        <w:t xml:space="preserve"> </w:t>
      </w:r>
      <w:r>
        <w:t xml:space="preserve">of</w:t>
      </w:r>
      <w:r>
        <w:t xml:space="preserve"> </w:t>
      </w:r>
      <w:bookmarkStart w:id="43" w:name="totalPages"/>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fspdmqpsel</dc:title>
  <dc:creator/>
  <dc:description>Detailed Product Carbon Footprint (PCF) analysis report for fspdmqpsel, specializing in GHG Protocol for vgefpgudft, conducted by vqrngyntqy.</dc:description>
  <dc:language>en</dc:language>
  <cp:keywords/>
  <dcterms:created xsi:type="dcterms:W3CDTF">2026-05-30T23:57:35Z</dcterms:created>
  <dcterms:modified xsi:type="dcterms:W3CDTF">2026-05-30T23:57:35Z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