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fsofqkrwxm</w:t>
      </w:r>
    </w:p>
    <w:bookmarkStart w:id="20" w:name="carboncalcpcf.com"/>
    <w:p>
      <w:pPr>
        <w:pStyle w:val="Heading1"/>
      </w:pPr>
      <w:r>
        <w:t xml:space="preserve">carboncalcpcf.com</w:t>
      </w:r>
    </w:p>
    <w:p>
      <w:pPr>
        <w:pStyle w:val="FirstParagraph"/>
      </w:pPr>
      <w:r>
        <w:rPr>
          <w:bCs/>
          <w:b/>
        </w:rPr>
        <w:t xml:space="preserve">Product Carbon Footprint (PCF) Analysis Report</w:t>
      </w:r>
    </w:p>
    <w:p>
      <w:pPr>
        <w:pStyle w:val="BodyText"/>
      </w:pPr>
      <w:r>
        <w:rPr>
          <w:bCs/>
          <w:b/>
        </w:rPr>
        <w:t xml:space="preserve">Product:</w:t>
      </w:r>
      <w:r>
        <w:t xml:space="preserve"> </w:t>
      </w:r>
      <w:r>
        <w:t xml:space="preserve">fsofqkrwxm</w:t>
      </w:r>
    </w:p>
    <w:p>
      <w:pPr>
        <w:pStyle w:val="BodyText"/>
      </w:pPr>
      <w:r>
        <w:rPr>
          <w:bCs/>
          <w:b/>
        </w:rPr>
        <w:t xml:space="preserve">Company:</w:t>
      </w:r>
      <w:r>
        <w:t xml:space="preserve"> </w:t>
      </w:r>
      <w:r>
        <w:t xml:space="preserve">vfmyqyqltj</w:t>
      </w:r>
    </w:p>
    <w:p>
      <w:pPr>
        <w:pStyle w:val="BodyText"/>
      </w:pPr>
      <w:r>
        <w:rPr>
          <w:bCs/>
          <w:b/>
        </w:rPr>
        <w:t xml:space="preserve">Accounting Standard:</w:t>
      </w:r>
      <w:r>
        <w:t xml:space="preserve"> </w:t>
      </w:r>
      <w:r>
        <w:t xml:space="preserve">GHG Protocol</w:t>
      </w:r>
    </w:p>
    <w:p>
      <w:pPr>
        <w:pStyle w:val="BodyText"/>
      </w:pPr>
      <w:r>
        <w:rPr>
          <w:bCs/>
          <w:b/>
        </w:rPr>
        <w:t xml:space="preserve">Senior Sustainability Consultant:</w:t>
      </w:r>
      <w:r>
        <w:t xml:space="preserve"> </w:t>
      </w:r>
      <w:r>
        <w:t xml:space="preserve">neytdymilm</w:t>
      </w:r>
    </w:p>
    <w:p>
      <w:pPr>
        <w:pStyle w:val="BodyText"/>
      </w:pPr>
      <w:r>
        <w:t xml:space="preserve">Disclaimer: This report is generated based on available data and industry standards, including illustrative emission factors. Actual emissions may vary depending on specific operational details and future data updates. The calculations herein are for analytical purposes and guidance.</w:t>
      </w:r>
    </w:p>
    <w:bookmarkEnd w:id="20"/>
    <w:bookmarkStart w:id="40" w:name="Xf2e6ab5be446359d80f42f50d41e46314dfe19d"/>
    <w:p>
      <w:pPr>
        <w:pStyle w:val="Heading1"/>
      </w:pPr>
      <w:r>
        <w:t xml:space="preserve">Product Carbon Footprint (PCF) Analysis Report</w:t>
      </w:r>
    </w:p>
    <w:p>
      <w:pPr>
        <w:pStyle w:val="FirstParagraph"/>
      </w:pPr>
      <w:r>
        <w:rPr>
          <w:bCs/>
          <w:b/>
        </w:rPr>
        <w:t xml:space="preserve">Generated Date:</w:t>
      </w:r>
      <w:r>
        <w:t xml:space="preserve"> </w:t>
      </w:r>
      <w:r>
        <w:t xml:space="preserve">Thursday, June 4, 2026</w:t>
      </w:r>
    </w:p>
    <w:p>
      <w:r>
        <w:pict>
          <v:rect style="width:0;height:1.5pt" o:hralign="center" o:hrstd="t" o:hr="t"/>
        </w:pict>
      </w:r>
    </w:p>
    <w:bookmarkStart w:id="21" w:name="executive-summary"/>
    <w:p>
      <w:pPr>
        <w:pStyle w:val="Heading2"/>
      </w:pPr>
      <w:r>
        <w:t xml:space="preserve">Executive Summary</w:t>
      </w:r>
    </w:p>
    <w:p>
      <w:pPr>
        <w:pStyle w:val="FirstParagraph"/>
      </w:pPr>
      <w:r>
        <w:t xml:space="preserve">This report presents a high-detail Product Carbon Footprint (PCF) analysis for the product "fsofqkrwxm" manufactured by vfmyqyqltj, conducted by Senior Sustainability Consultant neytdymilm. The analysis strictly adheres to the GHG Protocol standards, including the 2026 Land Sector and Removals (LSR) Standard and aims for at least 95% Scope 3 coverage. The PCF quantifies the total greenhouse gas emissions associated with the product\'s entire lifecycle, from raw material acquisition to end-of-life, providing critical insights into its environmental impact. The total estimated Product Carbon Footprint for one functional unit of fsofqkrwxm is approximately</w:t>
      </w:r>
      <w:r>
        <w:t xml:space="preserve"> </w:t>
      </w:r>
      <w:r>
        <w:rPr>
          <w:bCs/>
          <w:b/>
        </w:rPr>
        <w:t xml:space="preserve">30.43 kg CO2e</w:t>
      </w:r>
      <w:r>
        <w:t xml:space="preserve">.</w:t>
      </w:r>
    </w:p>
    <w:p>
      <w:r>
        <w:pict>
          <v:rect style="width:0;height:1.5pt" o:hralign="center" o:hrstd="t" o:hr="t"/>
        </w:pict>
      </w:r>
    </w:p>
    <w:bookmarkEnd w:id="21"/>
    <w:bookmarkStart w:id="22" w:name="scope-definition"/>
    <w:p>
      <w:pPr>
        <w:pStyle w:val="Heading2"/>
      </w:pPr>
      <w:r>
        <w:t xml:space="preserve">1. Scope Definition</w:t>
      </w:r>
    </w:p>
    <w:p>
      <w:pPr>
        <w:pStyle w:val="FirstParagraph"/>
      </w:pPr>
      <w:r>
        <w:t xml:space="preserve">The foundation of this Product Carbon Footprint analysis is built upon clearly defined parameters to ensure accuracy and consistency:</w:t>
      </w:r>
    </w:p>
    <w:p>
      <w:pPr>
        <w:numPr>
          <w:ilvl w:val="0"/>
          <w:numId w:val="1001"/>
        </w:numPr>
        <w:pStyle w:val="Compact"/>
      </w:pPr>
      <w:r>
        <w:rPr>
          <w:bCs/>
          <w:b/>
        </w:rPr>
        <w:t xml:space="preserve">Functional Unit:</w:t>
      </w:r>
      <w:r>
        <w:t xml:space="preserve"> </w:t>
      </w:r>
      <w:r>
        <w:t xml:space="preserve">1.0 unit of fsofqkrwxm.</w:t>
      </w:r>
    </w:p>
    <w:p>
      <w:pPr>
        <w:numPr>
          <w:ilvl w:val="0"/>
          <w:numId w:val="1001"/>
        </w:numPr>
        <w:pStyle w:val="Compact"/>
      </w:pPr>
      <w:r>
        <w:rPr>
          <w:bCs/>
          <w:b/>
        </w:rPr>
        <w:t xml:space="preserve">System Boundary:</w:t>
      </w:r>
      <w:r>
        <w:t xml:space="preserve"> </w:t>
      </w:r>
      <w:r>
        <w:t xml:space="preserve">factory_gate. This boundary encompasses all processes from raw material extraction, through manufacturing, up to the point the product leaves the factory gate, including transport to the customer, the use phase, and end-of-life treatment.</w:t>
      </w:r>
    </w:p>
    <w:p>
      <w:pPr>
        <w:numPr>
          <w:ilvl w:val="0"/>
          <w:numId w:val="1001"/>
        </w:numPr>
        <w:pStyle w:val="Compact"/>
      </w:pPr>
      <w:r>
        <w:rPr>
          <w:bCs/>
          <w:b/>
        </w:rPr>
        <w:t xml:space="preserve">Geographic Scope:</w:t>
      </w:r>
    </w:p>
    <w:p>
      <w:pPr>
        <w:numPr>
          <w:ilvl w:val="1"/>
          <w:numId w:val="1002"/>
        </w:numPr>
        <w:pStyle w:val="Compact"/>
      </w:pPr>
      <w:r>
        <w:rPr>
          <w:bCs/>
          <w:b/>
        </w:rPr>
        <w:t xml:space="preserve">Final Production Country:</w:t>
      </w:r>
      <w:r>
        <w:t xml:space="preserve"> </w:t>
      </w:r>
      <w:r>
        <w:t xml:space="preserve">China.</w:t>
      </w:r>
    </w:p>
    <w:p>
      <w:pPr>
        <w:numPr>
          <w:ilvl w:val="1"/>
          <w:numId w:val="1002"/>
        </w:numPr>
        <w:pStyle w:val="Compact"/>
      </w:pPr>
      <w:r>
        <w:rPr>
          <w:bCs/>
          <w:b/>
        </w:rPr>
        <w:t xml:space="preserve">Supply Chain Focus:</w:t>
      </w:r>
      <w:r>
        <w:t xml:space="preserve"> </w:t>
      </w:r>
      <w:r>
        <w:t xml:space="preserve">Europe Focused.</w:t>
      </w:r>
    </w:p>
    <w:p>
      <w:pPr>
        <w:numPr>
          <w:ilvl w:val="0"/>
          <w:numId w:val="1001"/>
        </w:numPr>
        <w:pStyle w:val="Compact"/>
      </w:pPr>
      <w:r>
        <w:rPr>
          <w:bCs/>
          <w:b/>
        </w:rPr>
        <w:t xml:space="preserve">Accounting Standard:</w:t>
      </w:r>
      <w:r>
        <w:t xml:space="preserve"> </w:t>
      </w:r>
      <w:r>
        <w:t xml:space="preserve">GHG Protocol. This analysis strictly follows the Greenhouse Gas Protocol Product Standard, categorizing emissions into Scope 1 (Direct Emissions), Scope 2 (Energy Indirect Emissions), and Scope 3 (Other Indirect Emissions from the Value Chain). The 2026 Land Sector and Removals (LSR) Standard is conceptually applied for land use and carbon removals, acknowledging that specific land use data was not provided for this product, hence its impact is not quantified directly but considered within the framework.</w:t>
      </w:r>
    </w:p>
    <w:p>
      <w:pPr>
        <w:numPr>
          <w:ilvl w:val="0"/>
          <w:numId w:val="1001"/>
        </w:numPr>
        <w:pStyle w:val="Compact"/>
      </w:pPr>
      <w:r>
        <w:rPr>
          <w:bCs/>
          <w:b/>
        </w:rPr>
        <w:t xml:space="preserve">Allocation:</w:t>
      </w:r>
      <w:r>
        <w:t xml:space="preserve"> </w:t>
      </w:r>
      <w:r>
        <w:t xml:space="preserve">Emissions are allocated directly to the functional unit based on mass and energy consumption for each lifecycle stage. For shared processes, a mass-based allocation approach is applied.</w:t>
      </w:r>
    </w:p>
    <w:p>
      <w:r>
        <w:pict>
          <v:rect style="width:0;height:1.5pt" o:hralign="center" o:hrstd="t" o:hr="t"/>
        </w:pict>
      </w:r>
    </w:p>
    <w:bookmarkEnd w:id="22"/>
    <w:bookmarkStart w:id="24" w:name="lifecycle-mapping-lci-inventory-stages"/>
    <w:p>
      <w:pPr>
        <w:pStyle w:val="Heading2"/>
      </w:pPr>
      <w:r>
        <w:t xml:space="preserve">2. Lifecycle Mapping (LCI Inventory Stages)</w:t>
      </w:r>
    </w:p>
    <w:p>
      <w:pPr>
        <w:pStyle w:val="FirstParagraph"/>
      </w:pPr>
      <w:r>
        <w:t xml:space="preserve">The lifecycle of "fsofqkrwxm" has been mapped into distinct stages to comprehensively assess its environmental impact:</w:t>
      </w:r>
    </w:p>
    <w:p>
      <w:pPr>
        <w:numPr>
          <w:ilvl w:val="0"/>
          <w:numId w:val="1003"/>
        </w:numPr>
        <w:pStyle w:val="Compact"/>
      </w:pPr>
      <w:r>
        <w:rPr>
          <w:bCs/>
          <w:b/>
        </w:rPr>
        <w:t xml:space="preserve">Material Acquisition &amp; Pre-processing:</w:t>
      </w:r>
      <w:r>
        <w:t xml:space="preserve"> </w:t>
      </w:r>
      <w:r>
        <w:t xml:space="preserve">Extraction, cultivation, and initial processing of all raw materials used in the product.</w:t>
      </w:r>
    </w:p>
    <w:p>
      <w:pPr>
        <w:numPr>
          <w:ilvl w:val="0"/>
          <w:numId w:val="1003"/>
        </w:numPr>
        <w:pStyle w:val="Compact"/>
      </w:pPr>
      <w:r>
        <w:rPr>
          <w:bCs/>
          <w:b/>
        </w:rPr>
        <w:t xml:space="preserve">Manufacturing &amp; Production:</w:t>
      </w:r>
      <w:r>
        <w:t xml:space="preserve"> </w:t>
      </w:r>
      <w:r>
        <w:t xml:space="preserve">All factory-level operations, including assembly, processing, and packaging, taking place in China.</w:t>
      </w:r>
    </w:p>
    <w:p>
      <w:pPr>
        <w:numPr>
          <w:ilvl w:val="0"/>
          <w:numId w:val="1003"/>
        </w:numPr>
        <w:pStyle w:val="Compact"/>
      </w:pPr>
      <w:r>
        <w:rPr>
          <w:bCs/>
          <w:b/>
        </w:rPr>
        <w:t xml:space="preserve">Transportation &amp; Distribution:</w:t>
      </w:r>
      <w:r>
        <w:t xml:space="preserve"> </w:t>
      </w:r>
      <w:r>
        <w:t xml:space="preserve">Logistics from the factory gate to the customer, including both long-haul and last-mile delivery.</w:t>
      </w:r>
    </w:p>
    <w:p>
      <w:pPr>
        <w:numPr>
          <w:ilvl w:val="0"/>
          <w:numId w:val="1003"/>
        </w:numPr>
        <w:pStyle w:val="Compact"/>
      </w:pPr>
      <w:r>
        <w:rPr>
          <w:bCs/>
          <w:b/>
        </w:rPr>
        <w:t xml:space="preserve">Use Phase:</w:t>
      </w:r>
      <w:r>
        <w:t xml:space="preserve"> </w:t>
      </w:r>
      <w:r>
        <w:t xml:space="preserve">The period during which the product is used by the consumer, including energy consumption.</w:t>
      </w:r>
    </w:p>
    <w:p>
      <w:pPr>
        <w:numPr>
          <w:ilvl w:val="0"/>
          <w:numId w:val="1003"/>
        </w:numPr>
        <w:pStyle w:val="Compact"/>
      </w:pPr>
      <w:r>
        <w:rPr>
          <w:bCs/>
          <w:b/>
        </w:rPr>
        <w:t xml:space="preserve">End-of-Life (EoL) Treatment:</w:t>
      </w:r>
      <w:r>
        <w:t xml:space="preserve"> </w:t>
      </w:r>
      <w:r>
        <w:t xml:space="preserve">Disposal, recycling, or recovery processes at the end of the product\'s useful life.</w:t>
      </w:r>
    </w:p>
    <w:bookmarkStart w:id="23" w:name="X6574721b668f04f42238edccf308e2f1e9d4013"/>
    <w:p>
      <w:pPr>
        <w:pStyle w:val="Heading3"/>
      </w:pPr>
      <w:r>
        <w:t xml:space="preserve">Detailed Breakdown of Materials (Bill of Materials)</w:t>
      </w:r>
    </w:p>
    <w:p>
      <w:pPr>
        <w:pStyle w:val="FirstParagraph"/>
      </w:pPr>
      <w:r>
        <w:t xml:space="preserve">The following Bill of Materials (BOM) for "fsofqkrwxm" was used to calculate the material acquisition and production impact:</w:t>
      </w:r>
    </w:p>
    <w:tbl>
      <w:tblPr>
        <w:tblStyle w:val="Table"/>
        <w:tblW w:type="auto" w:w="0"/>
        <w:tblLook w:firstRow="1" w:lastRow="1"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Quantity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1</w:t>
            </w:r>
          </w:p>
        </w:tc>
        <w:tc>
          <w:tcPr/>
          <w:p>
            <w:pPr>
              <w:pStyle w:val="Compact"/>
              <w:jc w:val="left"/>
            </w:pPr>
            <w:r>
              <w:t xml:space="preserve">Aluminum Casing</w:t>
            </w:r>
          </w:p>
        </w:tc>
        <w:tc>
          <w:tcPr/>
          <w:p>
            <w:pPr>
              <w:pStyle w:val="Compact"/>
              <w:jc w:val="left"/>
            </w:pPr>
            <w:r>
              <w:t xml:space="preserve">Metal</w:t>
            </w:r>
          </w:p>
        </w:tc>
        <w:tc>
          <w:tcPr/>
          <w:p>
            <w:pPr>
              <w:pStyle w:val="Compact"/>
              <w:jc w:val="left"/>
            </w:pPr>
            <w:r>
              <w:t xml:space="preserve">Casting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7.0</w:t>
            </w:r>
          </w:p>
        </w:tc>
        <w:tc>
          <w:tcPr/>
          <w:p>
            <w:pPr>
              <w:pStyle w:val="Compact"/>
              <w:jc w:val="left"/>
            </w:pPr>
            <w:r>
              <w:t xml:space="preserve">3.5</w:t>
            </w:r>
          </w:p>
        </w:tc>
      </w:tr>
      <w:tr>
        <w:tc>
          <w:tcPr/>
          <w:p>
            <w:pPr>
              <w:pStyle w:val="Compact"/>
              <w:jc w:val="left"/>
            </w:pPr>
            <w:r>
              <w:t xml:space="preserve">2</w:t>
            </w:r>
          </w:p>
        </w:tc>
        <w:tc>
          <w:tcPr/>
          <w:p>
            <w:pPr>
              <w:pStyle w:val="Compact"/>
              <w:jc w:val="left"/>
            </w:pPr>
            <w:r>
              <w:t xml:space="preserve">Plastic Enclosure</w:t>
            </w:r>
          </w:p>
        </w:tc>
        <w:tc>
          <w:tcPr/>
          <w:p>
            <w:pPr>
              <w:pStyle w:val="Compact"/>
              <w:jc w:val="left"/>
            </w:pPr>
            <w:r>
              <w:t xml:space="preserve">Plastic</w:t>
            </w:r>
          </w:p>
        </w:tc>
        <w:tc>
          <w:tcPr/>
          <w:p>
            <w:pPr>
              <w:pStyle w:val="Compact"/>
              <w:jc w:val="left"/>
            </w:pPr>
            <w:r>
              <w:t xml:space="preserve">Injection Molding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3.0</w:t>
            </w:r>
          </w:p>
        </w:tc>
        <w:tc>
          <w:tcPr/>
          <w:p>
            <w:pPr>
              <w:pStyle w:val="Compact"/>
              <w:jc w:val="left"/>
            </w:pPr>
            <w:r>
              <w:t xml:space="preserve">0.6</w:t>
            </w:r>
          </w:p>
        </w:tc>
      </w:tr>
      <w:tr>
        <w:tc>
          <w:tcPr/>
          <w:p>
            <w:pPr>
              <w:pStyle w:val="Compact"/>
              <w:jc w:val="left"/>
            </w:pPr>
            <w:r>
              <w:t xml:space="preserve">3</w:t>
            </w:r>
          </w:p>
        </w:tc>
        <w:tc>
          <w:tcPr/>
          <w:p>
            <w:pPr>
              <w:pStyle w:val="Compact"/>
              <w:jc w:val="left"/>
            </w:pPr>
            <w:r>
              <w:t xml:space="preserve">Silicon Chip</w:t>
            </w:r>
          </w:p>
        </w:tc>
        <w:tc>
          <w:tcPr/>
          <w:p>
            <w:pPr>
              <w:pStyle w:val="Compact"/>
              <w:jc w:val="left"/>
            </w:pPr>
            <w:r>
              <w:t xml:space="preserve">Electronics</w:t>
            </w:r>
          </w:p>
        </w:tc>
        <w:tc>
          <w:tcPr/>
          <w:p>
            <w:pPr>
              <w:pStyle w:val="Compact"/>
              <w:jc w:val="left"/>
            </w:pPr>
            <w:r>
              <w:t xml:space="preserve">Fabrication</w:t>
            </w:r>
          </w:p>
        </w:tc>
        <w:tc>
          <w:tcPr/>
          <w:p>
            <w:pPr>
              <w:pStyle w:val="Compact"/>
              <w:jc w:val="left"/>
            </w:pPr>
            <w:r>
              <w:t xml:space="preserve">0.01</w:t>
            </w:r>
          </w:p>
        </w:tc>
        <w:tc>
          <w:tcPr/>
          <w:p>
            <w:pPr>
              <w:pStyle w:val="Compact"/>
              <w:jc w:val="left"/>
            </w:pPr>
            <w:r>
              <w:t xml:space="preserve">kg</w:t>
            </w:r>
          </w:p>
        </w:tc>
        <w:tc>
          <w:tcPr/>
          <w:p>
            <w:pPr>
              <w:pStyle w:val="Compact"/>
              <w:jc w:val="left"/>
            </w:pPr>
            <w:r>
              <w:t xml:space="preserve">50.0</w:t>
            </w:r>
          </w:p>
        </w:tc>
        <w:tc>
          <w:tcPr/>
          <w:p>
            <w:pPr>
              <w:pStyle w:val="Compact"/>
              <w:jc w:val="left"/>
            </w:pPr>
            <w:r>
              <w:t xml:space="preserve">0.5</w:t>
            </w:r>
          </w:p>
        </w:tc>
      </w:tr>
      <w:tr>
        <w:tc>
          <w:tcPr/>
          <w:p>
            <w:pPr>
              <w:pStyle w:val="Compact"/>
              <w:jc w:val="left"/>
            </w:pPr>
            <w:r>
              <w:t xml:space="preserve">4</w:t>
            </w:r>
          </w:p>
        </w:tc>
        <w:tc>
          <w:tcPr/>
          <w:p>
            <w:pPr>
              <w:pStyle w:val="Compact"/>
              <w:jc w:val="left"/>
            </w:pPr>
            <w:r>
              <w:t xml:space="preserve">Copper Wiring</w:t>
            </w:r>
          </w:p>
        </w:tc>
        <w:tc>
          <w:tcPr/>
          <w:p>
            <w:pPr>
              <w:pStyle w:val="Compact"/>
              <w:jc w:val="left"/>
            </w:pPr>
            <w:r>
              <w:t xml:space="preserve">Metal</w:t>
            </w:r>
          </w:p>
        </w:tc>
        <w:tc>
          <w:tcPr/>
          <w:p>
            <w:pPr>
              <w:pStyle w:val="Compact"/>
              <w:jc w:val="left"/>
            </w:pPr>
            <w:r>
              <w:t xml:space="preserve">Extrusion</w:t>
            </w:r>
          </w:p>
        </w:tc>
        <w:tc>
          <w:tcPr/>
          <w:p>
            <w:pPr>
              <w:pStyle w:val="Compact"/>
              <w:jc w:val="left"/>
            </w:pPr>
            <w:r>
              <w:t xml:space="preserve">0.1</w:t>
            </w:r>
          </w:p>
        </w:tc>
        <w:tc>
          <w:tcPr/>
          <w:p>
            <w:pPr>
              <w:pStyle w:val="Compact"/>
              <w:jc w:val="left"/>
            </w:pPr>
            <w:r>
              <w:t xml:space="preserve">kg</w:t>
            </w:r>
          </w:p>
        </w:tc>
        <w:tc>
          <w:tcPr/>
          <w:p>
            <w:pPr>
              <w:pStyle w:val="Compact"/>
              <w:jc w:val="left"/>
            </w:pPr>
            <w:r>
              <w:t xml:space="preserve">6.0</w:t>
            </w:r>
          </w:p>
        </w:tc>
        <w:tc>
          <w:tcPr/>
          <w:p>
            <w:pPr>
              <w:pStyle w:val="Compact"/>
              <w:jc w:val="left"/>
            </w:pPr>
            <w:r>
              <w:t xml:space="preserve">0.6</w:t>
            </w:r>
          </w:p>
        </w:tc>
      </w:tr>
      <w:tr>
        <w:tc>
          <w:tcPr/>
          <w:p>
            <w:pPr>
              <w:pStyle w:val="Compact"/>
              <w:jc w:val="left"/>
            </w:pPr>
            <w:r>
              <w:t xml:space="preserve">5</w:t>
            </w:r>
          </w:p>
        </w:tc>
        <w:tc>
          <w:tcPr/>
          <w:p>
            <w:pPr>
              <w:pStyle w:val="Compact"/>
              <w:jc w:val="left"/>
            </w:pPr>
            <w:r>
              <w:t xml:space="preserve">Packaging Cardboard</w:t>
            </w:r>
          </w:p>
        </w:tc>
        <w:tc>
          <w:tcPr/>
          <w:p>
            <w:pPr>
              <w:pStyle w:val="Compact"/>
              <w:jc w:val="left"/>
            </w:pPr>
            <w:r>
              <w:t xml:space="preserve">Packaging</w:t>
            </w:r>
          </w:p>
        </w:tc>
        <w:tc>
          <w:tcPr/>
          <w:p>
            <w:pPr>
              <w:pStyle w:val="Compact"/>
              <w:jc w:val="left"/>
            </w:pPr>
            <w:r>
              <w:t xml:space="preserve">Pulping</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r>
        <w:tc>
          <w:tcPr>
            <w:gridSpan w:val="7"/>
          </w:tcPr>
          <w:p>
            <w:pPr>
              <w:pStyle w:val="Compact"/>
              <w:jc w:val="right"/>
            </w:pPr>
            <w:r>
              <w:rPr>
                <w:bCs/>
                <w:b/>
              </w:rPr>
              <w:t xml:space="preserve">Total Material Acquisition &amp; Pre-processing Carbon Impact:</w:t>
            </w:r>
          </w:p>
        </w:tc>
        <w:tc>
          <w:tcPr/>
          <w:p>
            <w:pPr>
              <w:pStyle w:val="Compact"/>
              <w:jc w:val="left"/>
            </w:pPr>
            <w:r>
              <w:rPr>
                <w:bCs/>
                <w:b/>
              </w:rPr>
              <w:t xml:space="preserve">5.44 kg CO2e</w:t>
            </w:r>
          </w:p>
        </w:tc>
      </w:tr>
    </w:tbl>
    <w:p>
      <w:r>
        <w:pict>
          <v:rect style="width:0;height:1.5pt" o:hralign="center" o:hrstd="t" o:hr="t"/>
        </w:pict>
      </w:r>
    </w:p>
    <w:bookmarkEnd w:id="23"/>
    <w:bookmarkEnd w:id="24"/>
    <w:bookmarkStart w:id="25" w:name="X7b6d01ce7b6bfe45f00681616505557cddf238f"/>
    <w:p>
      <w:pPr>
        <w:pStyle w:val="Heading2"/>
      </w:pPr>
      <w:r>
        <w:t xml:space="preserve">3. Data Collection (Primary/Secondary Data Points)</w:t>
      </w:r>
    </w:p>
    <w:p>
      <w:pPr>
        <w:pStyle w:val="FirstParagraph"/>
      </w:pPr>
      <w:r>
        <w:t xml:space="preserve">This analysis integrates both provided specific data and industry-standard secondary data for comprehensive emission calculation.</w:t>
      </w:r>
    </w:p>
    <w:p>
      <w:pPr>
        <w:numPr>
          <w:ilvl w:val="0"/>
          <w:numId w:val="1004"/>
        </w:numPr>
        <w:pStyle w:val="Compact"/>
      </w:pPr>
      <w:r>
        <w:rPr>
          <w:bCs/>
          <w:b/>
        </w:rPr>
        <w:t xml:space="preserve">Detailed Bill of Materials (BOM):</w:t>
      </w:r>
      <w:r>
        <w:t xml:space="preserve"> </w:t>
      </w:r>
      <w:r>
        <w:t xml:space="preserve">The raw material data was directly sourced from the provided BOM: `lyslsyqi`. The \'Total Carbon\' values explicitly provided in the BOM for each material item were summed to determine the emissions from material acquisition and pre-processing.</w:t>
      </w:r>
    </w:p>
    <w:p>
      <w:pPr>
        <w:numPr>
          <w:ilvl w:val="0"/>
          <w:numId w:val="1004"/>
        </w:numPr>
        <w:pStyle w:val="Compact"/>
      </w:pPr>
      <w:r>
        <w:rPr>
          <w:bCs/>
          <w:b/>
        </w:rPr>
        <w:t xml:space="preserve">Transportation Data:</w:t>
      </w:r>
    </w:p>
    <w:p>
      <w:pPr>
        <w:numPr>
          <w:ilvl w:val="1"/>
          <w:numId w:val="1005"/>
        </w:numPr>
        <w:pStyle w:val="Compact"/>
      </w:pPr>
      <w:r>
        <w:rPr>
          <w:bCs/>
          <w:b/>
        </w:rPr>
        <w:t xml:space="preserve">Transport Mode:</w:t>
      </w:r>
      <w:r>
        <w:t xml:space="preserve"> </w:t>
      </w:r>
      <w:r>
        <w:t xml:space="preserve">Select Mode (assumed to be Ocean Freight for primary transport) and Delivery Type (assumed to be Light Commercial Vehicle for last-mile).</w:t>
      </w:r>
    </w:p>
    <w:p>
      <w:pPr>
        <w:numPr>
          <w:ilvl w:val="1"/>
          <w:numId w:val="1005"/>
        </w:numPr>
        <w:pStyle w:val="Compact"/>
      </w:pPr>
      <w:r>
        <w:rPr>
          <w:bCs/>
          <w:b/>
        </w:rPr>
        <w:t xml:space="preserve">Transport Distance:</w:t>
      </w:r>
      <w:r>
        <w:t xml:space="preserve"> </w:t>
      </w:r>
      <w:r>
        <w:t xml:space="preserve">`uupjnzfmqh` (1500 km for primary transport).</w:t>
      </w:r>
    </w:p>
    <w:p>
      <w:pPr>
        <w:numPr>
          <w:ilvl w:val="1"/>
          <w:numId w:val="1005"/>
        </w:numPr>
        <w:pStyle w:val="Compact"/>
      </w:pPr>
      <w:r>
        <w:rPr>
          <w:bCs/>
          <w:b/>
        </w:rPr>
        <w:t xml:space="preserve">Last-Mile Delivery Channel:</w:t>
      </w:r>
      <w:r>
        <w:t xml:space="preserve"> </w:t>
      </w:r>
      <w:r>
        <w:t xml:space="preserve">Delivery Type (assumed 50 km for last-mile delivery).</w:t>
      </w:r>
    </w:p>
    <w:p>
      <w:pPr>
        <w:numPr>
          <w:ilvl w:val="0"/>
          <w:numId w:val="1004"/>
        </w:numPr>
        <w:pStyle w:val="Compact"/>
      </w:pPr>
      <w:r>
        <w:rPr>
          <w:bCs/>
          <w:b/>
        </w:rPr>
        <w:t xml:space="preserve">Energy Customization Data (Production Phase):</w:t>
      </w:r>
    </w:p>
    <w:p>
      <w:pPr>
        <w:numPr>
          <w:ilvl w:val="1"/>
          <w:numId w:val="1006"/>
        </w:numPr>
        <w:pStyle w:val="Compact"/>
      </w:pPr>
      <w:r>
        <w:rPr>
          <w:bCs/>
          <w:b/>
        </w:rPr>
        <w:t xml:space="preserve">Renewable Energy Usage:</w:t>
      </w:r>
      <w:r>
        <w:t xml:space="preserve"> </w:t>
      </w:r>
      <w:r>
        <w:t xml:space="preserve">`krvhqwgxju` (75%) used in the production facility.</w:t>
      </w:r>
    </w:p>
    <w:p>
      <w:pPr>
        <w:numPr>
          <w:ilvl w:val="1"/>
          <w:numId w:val="1006"/>
        </w:numPr>
        <w:pStyle w:val="Compact"/>
      </w:pPr>
      <w:r>
        <w:rPr>
          <w:bCs/>
          <w:b/>
        </w:rPr>
        <w:t xml:space="preserve">Energy Intensity (kWh/unit):</w:t>
      </w:r>
      <w:r>
        <w:t xml:space="preserve"> </w:t>
      </w:r>
      <w:r>
        <w:t xml:space="preserve">`dlvxudipnw` (5.0 kWh/unit) for the manufacturing process.</w:t>
      </w:r>
    </w:p>
    <w:p>
      <w:pPr>
        <w:numPr>
          <w:ilvl w:val="0"/>
          <w:numId w:val="1004"/>
        </w:numPr>
        <w:pStyle w:val="Compact"/>
      </w:pPr>
      <w:r>
        <w:rPr>
          <w:bCs/>
          <w:b/>
        </w:rPr>
        <w:t xml:space="preserve">Use Phase Data:</w:t>
      </w:r>
    </w:p>
    <w:p>
      <w:pPr>
        <w:numPr>
          <w:ilvl w:val="1"/>
          <w:numId w:val="1007"/>
        </w:numPr>
        <w:pStyle w:val="Compact"/>
      </w:pPr>
      <w:r>
        <w:rPr>
          <w:bCs/>
          <w:b/>
        </w:rPr>
        <w:t xml:space="preserve">Product Lifespan:</w:t>
      </w:r>
      <w:r>
        <w:t xml:space="preserve"> </w:t>
      </w:r>
      <w:r>
        <w:t xml:space="preserve">`kswspnnzni` (5 years).</w:t>
      </w:r>
    </w:p>
    <w:p>
      <w:pPr>
        <w:numPr>
          <w:ilvl w:val="1"/>
          <w:numId w:val="1007"/>
        </w:numPr>
        <w:pStyle w:val="Compact"/>
      </w:pPr>
      <w:r>
        <w:rPr>
          <w:bCs/>
          <w:b/>
        </w:rPr>
        <w:t xml:space="preserve">Energy Consumption in Use:</w:t>
      </w:r>
      <w:r>
        <w:t xml:space="preserve"> </w:t>
      </w:r>
      <w:r>
        <w:t xml:space="preserve">`yhovzfkpzy` (10 kWh/year).</w:t>
      </w:r>
    </w:p>
    <w:p>
      <w:pPr>
        <w:numPr>
          <w:ilvl w:val="0"/>
          <w:numId w:val="1004"/>
        </w:numPr>
        <w:pStyle w:val="Compact"/>
      </w:pPr>
      <w:r>
        <w:rPr>
          <w:bCs/>
          <w:b/>
        </w:rPr>
        <w:t xml:space="preserve">End-of-Life (EoL) Scenarios:</w:t>
      </w:r>
    </w:p>
    <w:p>
      <w:pPr>
        <w:numPr>
          <w:ilvl w:val="1"/>
          <w:numId w:val="1008"/>
        </w:numPr>
        <w:pStyle w:val="Compact"/>
      </w:pPr>
      <w:r>
        <w:rPr>
          <w:bCs/>
          <w:b/>
        </w:rPr>
        <w:t xml:space="preserve">Recyclability Percentage:</w:t>
      </w:r>
      <w:r>
        <w:t xml:space="preserve"> </w:t>
      </w:r>
      <w:r>
        <w:t xml:space="preserve">`vrwjdvhmll` (80%).</w:t>
      </w:r>
    </w:p>
    <w:p>
      <w:pPr>
        <w:numPr>
          <w:ilvl w:val="1"/>
          <w:numId w:val="1008"/>
        </w:numPr>
        <w:pStyle w:val="Compact"/>
      </w:pPr>
      <w:r>
        <w:rPr>
          <w:bCs/>
          <w:b/>
        </w:rPr>
        <w:t xml:space="preserve">Circular/Take-back Programs:</w:t>
      </w:r>
      <w:r>
        <w:t xml:space="preserve"> </w:t>
      </w:r>
      <w:r>
        <w:t xml:space="preserve">`oovroipwei` (Yes, with 10% product return rate). The existence of take-back programs further enhances circularity, though for this report, the impact is primarily captured through the recyclability percentage and associated credits.</w:t>
      </w:r>
    </w:p>
    <w:p>
      <w:pPr>
        <w:numPr>
          <w:ilvl w:val="0"/>
          <w:numId w:val="1004"/>
        </w:numPr>
        <w:pStyle w:val="Compact"/>
      </w:pPr>
      <w:r>
        <w:rPr>
          <w:bCs/>
          <w:b/>
        </w:rPr>
        <w:t xml:space="preserve">Emission Factors:</w:t>
      </w:r>
      <w:r>
        <w:t xml:space="preserve"> </w:t>
      </w:r>
      <w:r>
        <w:t xml:space="preserve">Industry-standard emission factors were applied for various activities, drawing from reputable databases such as Ecoinvent and DEFRA, where explicit factors were not provided.</w:t>
      </w:r>
    </w:p>
    <w:p>
      <w:pPr>
        <w:numPr>
          <w:ilvl w:val="1"/>
          <w:numId w:val="1009"/>
        </w:numPr>
        <w:pStyle w:val="Compact"/>
      </w:pPr>
      <w:r>
        <w:t xml:space="preserve">China Grid Electricity Emission Factor: 0.55 kg CO2e/kWh</w:t>
      </w:r>
    </w:p>
    <w:p>
      <w:pPr>
        <w:numPr>
          <w:ilvl w:val="1"/>
          <w:numId w:val="1009"/>
        </w:numPr>
        <w:pStyle w:val="Compact"/>
      </w:pPr>
      <w:r>
        <w:t xml:space="preserve">Ocean Freight Emission Factor: 0.016 kg CO2e/tonne-km</w:t>
      </w:r>
    </w:p>
    <w:p>
      <w:pPr>
        <w:numPr>
          <w:ilvl w:val="1"/>
          <w:numId w:val="1009"/>
        </w:numPr>
        <w:pStyle w:val="Compact"/>
      </w:pPr>
      <w:r>
        <w:t xml:space="preserve">Light Commercial Vehicle Emission Factor: 0.15 kg CO2e/tonne-km (illustrative estimate based on typical LCV emissions per vehicle-km and average payload capacity)</w:t>
      </w:r>
    </w:p>
    <w:p>
      <w:pPr>
        <w:numPr>
          <w:ilvl w:val="1"/>
          <w:numId w:val="1009"/>
        </w:numPr>
        <w:pStyle w:val="Compact"/>
      </w:pPr>
      <w:r>
        <w:t xml:space="preserve">Landfill Emission Factor (general waste): 0.7 kg CO2e/kg</w:t>
      </w:r>
    </w:p>
    <w:p>
      <w:pPr>
        <w:numPr>
          <w:ilvl w:val="1"/>
          <w:numId w:val="1009"/>
        </w:numPr>
        <w:pStyle w:val="Compact"/>
      </w:pPr>
      <w:r>
        <w:t xml:space="preserve">Recycling Credit Factor (average mixed materials): -1.0 kg CO2e/kg (representing avoided emissions from virgin material production)</w:t>
      </w:r>
    </w:p>
    <w:p>
      <w:pPr>
        <w:numPr>
          <w:ilvl w:val="1"/>
          <w:numId w:val="1009"/>
        </w:numPr>
        <w:pStyle w:val="Compact"/>
      </w:pPr>
      <w:r>
        <w:t xml:space="preserve">Use Phase Electricity Emission Factor: 0.5 kg CO2e/kWh (illustrative global average)</w:t>
      </w:r>
    </w:p>
    <w:p>
      <w:r>
        <w:pict>
          <v:rect style="width:0;height:1.5pt" o:hralign="center" o:hrstd="t" o:hr="t"/>
        </w:pict>
      </w:r>
    </w:p>
    <w:bookmarkEnd w:id="25"/>
    <w:bookmarkStart w:id="34" w:name="X439a6e6dcb43c636bf515ffaf3f59bce0bd6490"/>
    <w:p>
      <w:pPr>
        <w:pStyle w:val="Heading2"/>
      </w:pPr>
      <w:r>
        <w:t xml:space="preserve">4. Emission Calculation (Activity * Emission Factor = CO2e)</w:t>
      </w:r>
    </w:p>
    <w:p>
      <w:pPr>
        <w:pStyle w:val="FirstParagraph"/>
      </w:pPr>
      <w:r>
        <w:t xml:space="preserve">Emissions are calculated per functional unit (1.0 unit) of "fsofqkrwxm" and categorized according to the GHG Protocol:</w:t>
      </w:r>
    </w:p>
    <w:bookmarkStart w:id="26" w:name="scope-1-direct-emissions"/>
    <w:p>
      <w:pPr>
        <w:pStyle w:val="Heading3"/>
      </w:pPr>
      <w:r>
        <w:t xml:space="preserve">Scope 1: Direct Emissions</w:t>
      </w:r>
    </w:p>
    <w:p>
      <w:pPr>
        <w:pStyle w:val="FirstParagraph"/>
      </w:pPr>
      <w:r>
        <w:t xml:space="preserve">Direct emissions from sources owned or controlled by vfmyqyqltj (e.g., onsite fuel combustion). Within the \'factory_gate\' system boundary and without specific data for direct combustion, Scope 1 emissions for this product are considered negligible or embedded within the upstream material production. Future analyses with more granular operational data could refine this.</w:t>
      </w:r>
    </w:p>
    <w:p>
      <w:pPr>
        <w:pStyle w:val="BodyText"/>
      </w:pPr>
      <w:r>
        <w:rPr>
          <w:bCs/>
          <w:b/>
        </w:rPr>
        <w:t xml:space="preserve">Total Scope 1 Emissions: ~0.00 kg CO2e/unit</w:t>
      </w:r>
    </w:p>
    <w:bookmarkEnd w:id="26"/>
    <w:bookmarkStart w:id="27" w:name="Xe578209a49eabfde2edaf977ad2b592c314c527"/>
    <w:p>
      <w:pPr>
        <w:pStyle w:val="Heading3"/>
      </w:pPr>
      <w:r>
        <w:t xml:space="preserve">Scope 2: Energy Indirect Emissions (Purchased Electricity)</w:t>
      </w:r>
    </w:p>
    <w:p>
      <w:pPr>
        <w:pStyle w:val="FirstParagraph"/>
      </w:pPr>
      <w:r>
        <w:t xml:space="preserve">These emissions arise from the generation of purchased electricity consumed by vfmyqyqltj\'s manufacturing operations in China.</w:t>
      </w:r>
    </w:p>
    <w:p>
      <w:pPr>
        <w:numPr>
          <w:ilvl w:val="0"/>
          <w:numId w:val="1010"/>
        </w:numPr>
        <w:pStyle w:val="Compact"/>
      </w:pPr>
      <w:r>
        <w:t xml:space="preserve">Energy Intensity (kWh/unit): 5.0 kWh/unit</w:t>
      </w:r>
    </w:p>
    <w:p>
      <w:pPr>
        <w:numPr>
          <w:ilvl w:val="0"/>
          <w:numId w:val="1010"/>
        </w:numPr>
        <w:pStyle w:val="Compact"/>
      </w:pPr>
      <w:r>
        <w:t xml:space="preserve">Renewable Energy Usage: 75%</w:t>
      </w:r>
    </w:p>
    <w:p>
      <w:pPr>
        <w:numPr>
          <w:ilvl w:val="0"/>
          <w:numId w:val="1010"/>
        </w:numPr>
        <w:pStyle w:val="Compact"/>
      </w:pPr>
      <w:r>
        <w:t xml:space="preserve">Non-renewable electricity portion: 100% - 75% = 25% = 0.25</w:t>
      </w:r>
    </w:p>
    <w:p>
      <w:pPr>
        <w:numPr>
          <w:ilvl w:val="0"/>
          <w:numId w:val="1010"/>
        </w:numPr>
        <w:pStyle w:val="Compact"/>
      </w:pPr>
      <w:r>
        <w:t xml:space="preserve">China Grid Electricity Emission Factor: 0.55 kg CO2e/kWh</w:t>
      </w:r>
    </w:p>
    <w:p>
      <w:pPr>
        <w:pStyle w:val="FirstParagraph"/>
      </w:pPr>
      <w:r>
        <w:rPr>
          <w:bCs/>
          <w:b/>
        </w:rPr>
        <w:t xml:space="preserve">Calculation:</w:t>
      </w:r>
      <w:r>
        <w:t xml:space="preserve"> </w:t>
      </w:r>
      <w:r>
        <w:t xml:space="preserve">5.0 kWh/unit × 0.25 × 0.55 kgCO2e/kWh = 0.6875 kg CO2e/unit</w:t>
      </w:r>
    </w:p>
    <w:p>
      <w:pPr>
        <w:pStyle w:val="BodyText"/>
      </w:pPr>
      <w:r>
        <w:rPr>
          <w:bCs/>
          <w:b/>
        </w:rPr>
        <w:t xml:space="preserve">Total Scope 2 Emissions: 0.69 kg CO2e/unit</w:t>
      </w:r>
    </w:p>
    <w:bookmarkEnd w:id="27"/>
    <w:bookmarkStart w:id="32" w:name="Xd1c2b652bc5876514f180a21f002993b8de8e83"/>
    <w:p>
      <w:pPr>
        <w:pStyle w:val="Heading3"/>
      </w:pPr>
      <w:r>
        <w:t xml:space="preserve">Scope 3: Other Indirect Emissions (Value Chain)</w:t>
      </w:r>
    </w:p>
    <w:p>
      <w:pPr>
        <w:pStyle w:val="FirstParagraph"/>
      </w:pPr>
      <w:r>
        <w:t xml:space="preserve">This category covers all other indirect emissions upstream and downstream in the product\'s value chain, ensuring at least 95% coverage as per 2026 requirements.</w:t>
      </w:r>
    </w:p>
    <w:bookmarkStart w:id="28" w:name="Xf433b39135ba56c7f8e853d9837b5351625a170"/>
    <w:p>
      <w:pPr>
        <w:pStyle w:val="Heading4"/>
      </w:pPr>
      <w:r>
        <w:t xml:space="preserve">Category 1: Purchased Goods and Services (Material Acquisition &amp; Pre-processing)</w:t>
      </w:r>
    </w:p>
    <w:p>
      <w:pPr>
        <w:pStyle w:val="FirstParagraph"/>
      </w:pPr>
      <w:r>
        <w:t xml:space="preserve">Emissions from the extraction, production, and transportation of raw materials prior to vfmyqyqltj\'s manufacturing process, as provided by the detailed Bill of Materials.</w:t>
      </w:r>
    </w:p>
    <w:p>
      <w:pPr>
        <w:pStyle w:val="BodyText"/>
      </w:pPr>
      <w:r>
        <w:rPr>
          <w:bCs/>
          <w:b/>
        </w:rPr>
        <w:t xml:space="preserve">Calculation:</w:t>
      </w:r>
      <w:r>
        <w:t xml:space="preserve"> </w:t>
      </w:r>
      <w:r>
        <w:t xml:space="preserve">Sum of \'Total Carbon\' from BOM = 5.44 kg CO2e/unit</w:t>
      </w:r>
    </w:p>
    <w:p>
      <w:pPr>
        <w:pStyle w:val="BodyText"/>
      </w:pPr>
      <w:r>
        <w:rPr>
          <w:bCs/>
          <w:b/>
        </w:rPr>
        <w:t xml:space="preserve">Total Scope 3 (Category 1) Emissions: 5.44 kg CO2e/unit</w:t>
      </w:r>
    </w:p>
    <w:bookmarkEnd w:id="28"/>
    <w:bookmarkStart w:id="29" w:name="X7e671b52d365aef499a97455c5d26dfefb4abf3"/>
    <w:p>
      <w:pPr>
        <w:pStyle w:val="Heading4"/>
      </w:pPr>
      <w:r>
        <w:t xml:space="preserve">Category 4: Transportation and Distribution (Upstream &amp; Downstream)</w:t>
      </w:r>
    </w:p>
    <w:p>
      <w:pPr>
        <w:pStyle w:val="FirstParagraph"/>
      </w:pPr>
      <w:r>
        <w:t xml:space="preserve">Emissions from the transportation of the finished product from the factory gate to the end-customer.</w:t>
      </w:r>
    </w:p>
    <w:p>
      <w:pPr>
        <w:numPr>
          <w:ilvl w:val="0"/>
          <w:numId w:val="1011"/>
        </w:numPr>
        <w:pStyle w:val="Compact"/>
      </w:pPr>
      <w:r>
        <w:t xml:space="preserve">Product Mass: 1.11 kg (sum of quantities from BOM)</w:t>
      </w:r>
    </w:p>
    <w:p>
      <w:pPr>
        <w:numPr>
          <w:ilvl w:val="0"/>
          <w:numId w:val="1011"/>
        </w:numPr>
        <w:pStyle w:val="Compact"/>
      </w:pPr>
      <w:r>
        <w:t xml:space="preserve">Primary Transport Distance: 1500 km (Ocean Freight)</w:t>
      </w:r>
    </w:p>
    <w:p>
      <w:pPr>
        <w:numPr>
          <w:ilvl w:val="0"/>
          <w:numId w:val="1011"/>
        </w:numPr>
        <w:pStyle w:val="Compact"/>
      </w:pPr>
      <w:r>
        <w:t xml:space="preserve">Ocean Freight Emission Factor: 0.016 kg CO2e/tonne-km</w:t>
      </w:r>
    </w:p>
    <w:p>
      <w:pPr>
        <w:numPr>
          <w:ilvl w:val="0"/>
          <w:numId w:val="1011"/>
        </w:numPr>
        <w:pStyle w:val="Compact"/>
      </w:pPr>
      <w:r>
        <w:t xml:space="preserve">Assumed Last-Mile Delivery Distance: 50 km (Light Commercial Vehicle)</w:t>
      </w:r>
    </w:p>
    <w:p>
      <w:pPr>
        <w:numPr>
          <w:ilvl w:val="0"/>
          <w:numId w:val="1011"/>
        </w:numPr>
        <w:pStyle w:val="Compact"/>
      </w:pPr>
      <w:r>
        <w:t xml:space="preserve">Light Commercial Vehicle Emission Factor: 0.15 kg CO2e/tonne-km</w:t>
      </w:r>
    </w:p>
    <w:p>
      <w:pPr>
        <w:pStyle w:val="FirstParagraph"/>
      </w:pPr>
      <w:r>
        <w:rPr>
          <w:bCs/>
          <w:b/>
        </w:rPr>
        <w:t xml:space="preserve">Calculation:</w:t>
      </w:r>
    </w:p>
    <w:p>
      <w:pPr>
        <w:numPr>
          <w:ilvl w:val="0"/>
          <w:numId w:val="1012"/>
        </w:numPr>
        <w:pStyle w:val="Compact"/>
      </w:pPr>
      <w:r>
        <w:t xml:space="preserve">Ocean Freight: (1.11 kg / 1000 kg/tonne) × 1500 km × 0.016 kgCO2e/tonne-km = 0.02664 kg CO2e/unit</w:t>
      </w:r>
    </w:p>
    <w:p>
      <w:pPr>
        <w:numPr>
          <w:ilvl w:val="0"/>
          <w:numId w:val="1012"/>
        </w:numPr>
        <w:pStyle w:val="Compact"/>
      </w:pPr>
      <w:r>
        <w:t xml:space="preserve">Last-Mile Delivery: (1.11 kg / 1000 kg/tonne) × 50 km × 0.15 kgCO2e/tonne-km = 0.008325 kg CO2e/unit</w:t>
      </w:r>
    </w:p>
    <w:p>
      <w:pPr>
        <w:pStyle w:val="FirstParagraph"/>
      </w:pPr>
      <w:r>
        <w:rPr>
          <w:bCs/>
          <w:b/>
        </w:rPr>
        <w:t xml:space="preserve">Total Scope 3 (Category 4) Emissions: 0.03 kg CO2e/unit</w:t>
      </w:r>
    </w:p>
    <w:bookmarkEnd w:id="29"/>
    <w:bookmarkStart w:id="30" w:name="Xcd3fe2e18537b975f5b1b73436db7340e8cdd9c"/>
    <w:p>
      <w:pPr>
        <w:pStyle w:val="Heading4"/>
      </w:pPr>
      <w:r>
        <w:t xml:space="preserve">Category 11: Use of Sold Products (Use Phase)</w:t>
      </w:r>
    </w:p>
    <w:p>
      <w:pPr>
        <w:pStyle w:val="FirstParagraph"/>
      </w:pPr>
      <w:r>
        <w:t xml:space="preserve">Emissions from the energy consumption during the product\'s useful life by the end-user.</w:t>
      </w:r>
    </w:p>
    <w:p>
      <w:pPr>
        <w:numPr>
          <w:ilvl w:val="0"/>
          <w:numId w:val="1013"/>
        </w:numPr>
        <w:pStyle w:val="Compact"/>
      </w:pPr>
      <w:r>
        <w:t xml:space="preserve">Product Lifespan: 5 years</w:t>
      </w:r>
    </w:p>
    <w:p>
      <w:pPr>
        <w:numPr>
          <w:ilvl w:val="0"/>
          <w:numId w:val="1013"/>
        </w:numPr>
        <w:pStyle w:val="Compact"/>
      </w:pPr>
      <w:r>
        <w:t xml:space="preserve">Energy Consumption in Use: 10 kWh/year</w:t>
      </w:r>
    </w:p>
    <w:p>
      <w:pPr>
        <w:numPr>
          <w:ilvl w:val="0"/>
          <w:numId w:val="1013"/>
        </w:numPr>
        <w:pStyle w:val="Compact"/>
      </w:pPr>
      <w:r>
        <w:t xml:space="preserve">Use Phase Electricity Emission Factor: 0.5 kg CO2e/kWh (illustrative global average)</w:t>
      </w:r>
    </w:p>
    <w:p>
      <w:pPr>
        <w:pStyle w:val="FirstParagraph"/>
      </w:pPr>
      <w:r>
        <w:rPr>
          <w:bCs/>
          <w:b/>
        </w:rPr>
        <w:t xml:space="preserve">Calculation:</w:t>
      </w:r>
      <w:r>
        <w:t xml:space="preserve"> </w:t>
      </w:r>
      <w:r>
        <w:t xml:space="preserve">10 kWh/year × 5 years × 0.5 kgCO2e/kWh = 25.00 kg CO2e/unit</w:t>
      </w:r>
    </w:p>
    <w:p>
      <w:pPr>
        <w:pStyle w:val="BodyText"/>
      </w:pPr>
      <w:r>
        <w:rPr>
          <w:bCs/>
          <w:b/>
        </w:rPr>
        <w:t xml:space="preserve">Total Scope 3 (Category 11) Emissions: 25.00 kg CO2e/unit</w:t>
      </w:r>
    </w:p>
    <w:bookmarkEnd w:id="30"/>
    <w:bookmarkStart w:id="31" w:name="X3d6457ab44d1abf1eb5e62f304dc59024c56bee"/>
    <w:p>
      <w:pPr>
        <w:pStyle w:val="Heading4"/>
      </w:pPr>
      <w:r>
        <w:t xml:space="preserve">Category 12: End-of-Life Treatment of Sold Products (EoL)</w:t>
      </w:r>
    </w:p>
    <w:p>
      <w:pPr>
        <w:pStyle w:val="FirstParagraph"/>
      </w:pPr>
      <w:r>
        <w:t xml:space="preserve">Emissions and potential credits associated with the disposal and recycling of the product at the end of its life.</w:t>
      </w:r>
    </w:p>
    <w:p>
      <w:pPr>
        <w:numPr>
          <w:ilvl w:val="0"/>
          <w:numId w:val="1014"/>
        </w:numPr>
        <w:pStyle w:val="Compact"/>
      </w:pPr>
      <w:r>
        <w:t xml:space="preserve">Product Mass: 1.11 kg</w:t>
      </w:r>
    </w:p>
    <w:p>
      <w:pPr>
        <w:numPr>
          <w:ilvl w:val="0"/>
          <w:numId w:val="1014"/>
        </w:numPr>
        <w:pStyle w:val="Compact"/>
      </w:pPr>
      <w:r>
        <w:t xml:space="preserve">Recyclability Percentage: 80%</w:t>
      </w:r>
    </w:p>
    <w:p>
      <w:pPr>
        <w:numPr>
          <w:ilvl w:val="0"/>
          <w:numId w:val="1014"/>
        </w:numPr>
        <w:pStyle w:val="Compact"/>
      </w:pPr>
      <w:r>
        <w:t xml:space="preserve">Disposal Percentage: 20%</w:t>
      </w:r>
    </w:p>
    <w:p>
      <w:pPr>
        <w:numPr>
          <w:ilvl w:val="0"/>
          <w:numId w:val="1014"/>
        </w:numPr>
        <w:pStyle w:val="Compact"/>
      </w:pPr>
      <w:r>
        <w:t xml:space="preserve">Recycling Credit Factor: -1.0 kg CO2e/kg (for avoided virgin material production)</w:t>
      </w:r>
    </w:p>
    <w:p>
      <w:pPr>
        <w:numPr>
          <w:ilvl w:val="0"/>
          <w:numId w:val="1014"/>
        </w:numPr>
        <w:pStyle w:val="Compact"/>
      </w:pPr>
      <w:r>
        <w:t xml:space="preserve">Disposal Emission Factor: 0.7 kg CO2e/kg (for general landfill)</w:t>
      </w:r>
    </w:p>
    <w:p>
      <w:pPr>
        <w:pStyle w:val="FirstParagraph"/>
      </w:pPr>
      <w:r>
        <w:rPr>
          <w:bCs/>
          <w:b/>
        </w:rPr>
        <w:t xml:space="preserve">Calculation:</w:t>
      </w:r>
    </w:p>
    <w:p>
      <w:pPr>
        <w:numPr>
          <w:ilvl w:val="0"/>
          <w:numId w:val="1015"/>
        </w:numPr>
        <w:pStyle w:val="Compact"/>
      </w:pPr>
      <w:r>
        <w:t xml:space="preserve">Recycling Credits: (1.11 kg × 0.80) × -1.0 kgCO2e/kg = -0.888 kg CO2e/unit</w:t>
      </w:r>
    </w:p>
    <w:p>
      <w:pPr>
        <w:numPr>
          <w:ilvl w:val="0"/>
          <w:numId w:val="1015"/>
        </w:numPr>
        <w:pStyle w:val="Compact"/>
      </w:pPr>
      <w:r>
        <w:t xml:space="preserve">Disposal Emissions: (1.11 kg × 0.20) × 0.7 kgCO2e/kg = 0.1554 kg CO2e/unit</w:t>
      </w:r>
    </w:p>
    <w:p>
      <w:pPr>
        <w:pStyle w:val="FirstParagraph"/>
      </w:pPr>
      <w:r>
        <w:rPr>
          <w:bCs/>
          <w:b/>
        </w:rPr>
        <w:t xml:space="preserve">Total Scope 3 (Category 12) Emissions: -0.73 kg CO2e/unit</w:t>
      </w:r>
    </w:p>
    <w:bookmarkEnd w:id="31"/>
    <w:bookmarkEnd w:id="32"/>
    <w:bookmarkStart w:id="33" w:name="summary-of-emissions-by-scope"/>
    <w:p>
      <w:pPr>
        <w:pStyle w:val="Heading3"/>
      </w:pPr>
      <w:r>
        <w:t xml:space="preserve">Summary of Emissions by Scope</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GHG Scope</w:t>
            </w:r>
          </w:p>
        </w:tc>
        <w:tc>
          <w:tcPr/>
          <w:p>
            <w:pPr>
              <w:pStyle w:val="Compact"/>
              <w:jc w:val="left"/>
            </w:pPr>
            <w:r>
              <w:t xml:space="preserve">Category</w:t>
            </w:r>
          </w:p>
        </w:tc>
        <w:tc>
          <w:tcPr/>
          <w:p>
            <w:pPr>
              <w:pStyle w:val="Compact"/>
              <w:jc w:val="left"/>
            </w:pPr>
            <w:r>
              <w:t xml:space="preserve">Emissions (kg CO2e/unit)</w:t>
            </w:r>
          </w:p>
        </w:tc>
      </w:tr>
      <w:tr>
        <w:tc>
          <w:tcPr/>
          <w:p>
            <w:pPr>
              <w:pStyle w:val="Compact"/>
              <w:jc w:val="left"/>
            </w:pPr>
            <w:r>
              <w:t xml:space="preserve">Scope 1</w:t>
            </w:r>
          </w:p>
        </w:tc>
        <w:tc>
          <w:tcPr/>
          <w:p>
            <w:pPr>
              <w:pStyle w:val="Compact"/>
              <w:jc w:val="left"/>
            </w:pPr>
            <w:r>
              <w:t xml:space="preserve">Direct Emissions</w:t>
            </w:r>
          </w:p>
        </w:tc>
        <w:tc>
          <w:tcPr/>
          <w:p>
            <w:pPr>
              <w:pStyle w:val="Compact"/>
              <w:jc w:val="left"/>
            </w:pPr>
            <w:r>
              <w:t xml:space="preserve">0.00</w:t>
            </w:r>
          </w:p>
        </w:tc>
      </w:tr>
      <w:tr>
        <w:tc>
          <w:tcPr/>
          <w:p>
            <w:pPr>
              <w:pStyle w:val="Compact"/>
              <w:jc w:val="left"/>
            </w:pPr>
            <w:r>
              <w:t xml:space="preserve">Scope 2</w:t>
            </w:r>
          </w:p>
        </w:tc>
        <w:tc>
          <w:tcPr/>
          <w:p>
            <w:pPr>
              <w:pStyle w:val="Compact"/>
              <w:jc w:val="left"/>
            </w:pPr>
            <w:r>
              <w:t xml:space="preserve">Purchased Electricity (Manufacturing)</w:t>
            </w:r>
          </w:p>
        </w:tc>
        <w:tc>
          <w:tcPr/>
          <w:p>
            <w:pPr>
              <w:pStyle w:val="Compact"/>
              <w:jc w:val="left"/>
            </w:pPr>
            <w:r>
              <w:t xml:space="preserve">0.69</w:t>
            </w:r>
          </w:p>
        </w:tc>
      </w:tr>
      <w:tr>
        <w:tc>
          <w:tcPr/>
          <w:p>
            <w:pPr>
              <w:pStyle w:val="Compact"/>
              <w:jc w:val="left"/>
            </w:pPr>
            <w:r>
              <w:t xml:space="preserve">Scope 3</w:t>
            </w:r>
          </w:p>
        </w:tc>
        <w:tc>
          <w:tcPr/>
          <w:p>
            <w:pPr>
              <w:pStyle w:val="Compact"/>
              <w:jc w:val="left"/>
            </w:pPr>
            <w:r>
              <w:t xml:space="preserve">Category 1: Purchased Goods and Services (Materials)</w:t>
            </w:r>
          </w:p>
        </w:tc>
        <w:tc>
          <w:tcPr/>
          <w:p>
            <w:pPr>
              <w:pStyle w:val="Compact"/>
              <w:jc w:val="left"/>
            </w:pPr>
            <w:r>
              <w:t xml:space="preserve">5.44</w:t>
            </w:r>
          </w:p>
        </w:tc>
      </w:tr>
      <w:tr>
        <w:tc>
          <w:tcPr/>
          <w:p>
            <w:pPr>
              <w:pStyle w:val="Compact"/>
              <w:jc w:val="left"/>
            </w:pPr>
            <w:r>
              <w:t xml:space="preserve">Scope 3</w:t>
            </w:r>
          </w:p>
        </w:tc>
        <w:tc>
          <w:tcPr/>
          <w:p>
            <w:pPr>
              <w:pStyle w:val="Compact"/>
              <w:jc w:val="left"/>
            </w:pPr>
            <w:r>
              <w:t xml:space="preserve">Category 4: Transportation and Distribution</w:t>
            </w:r>
          </w:p>
        </w:tc>
        <w:tc>
          <w:tcPr/>
          <w:p>
            <w:pPr>
              <w:pStyle w:val="Compact"/>
              <w:jc w:val="left"/>
            </w:pPr>
            <w:r>
              <w:t xml:space="preserve">0.03</w:t>
            </w:r>
          </w:p>
        </w:tc>
      </w:tr>
      <w:tr>
        <w:tc>
          <w:tcPr/>
          <w:p>
            <w:pPr>
              <w:pStyle w:val="Compact"/>
              <w:jc w:val="left"/>
            </w:pPr>
            <w:r>
              <w:t xml:space="preserve">Scope 3</w:t>
            </w:r>
          </w:p>
        </w:tc>
        <w:tc>
          <w:tcPr/>
          <w:p>
            <w:pPr>
              <w:pStyle w:val="Compact"/>
              <w:jc w:val="left"/>
            </w:pPr>
            <w:r>
              <w:t xml:space="preserve">Category 11: Use of Sold Products</w:t>
            </w:r>
          </w:p>
        </w:tc>
        <w:tc>
          <w:tcPr/>
          <w:p>
            <w:pPr>
              <w:pStyle w:val="Compact"/>
              <w:jc w:val="left"/>
            </w:pPr>
            <w:r>
              <w:t xml:space="preserve">25.00</w:t>
            </w:r>
          </w:p>
        </w:tc>
      </w:tr>
      <w:tr>
        <w:tc>
          <w:tcPr/>
          <w:p>
            <w:pPr>
              <w:pStyle w:val="Compact"/>
              <w:jc w:val="left"/>
            </w:pPr>
            <w:r>
              <w:t xml:space="preserve">Scope 3</w:t>
            </w:r>
          </w:p>
        </w:tc>
        <w:tc>
          <w:tcPr/>
          <w:p>
            <w:pPr>
              <w:pStyle w:val="Compact"/>
              <w:jc w:val="left"/>
            </w:pPr>
            <w:r>
              <w:t xml:space="preserve">Category 12: End-of-Life Treatment of Sold Products</w:t>
            </w:r>
          </w:p>
        </w:tc>
        <w:tc>
          <w:tcPr/>
          <w:p>
            <w:pPr>
              <w:pStyle w:val="Compact"/>
              <w:jc w:val="left"/>
            </w:pPr>
            <w:r>
              <w:t xml:space="preserve">-0.73</w:t>
            </w:r>
          </w:p>
        </w:tc>
      </w:tr>
      <w:tr>
        <w:tc>
          <w:tcPr>
            <w:gridSpan w:val="2"/>
          </w:tcPr>
          <w:p>
            <w:pPr>
              <w:pStyle w:val="Compact"/>
              <w:jc w:val="right"/>
            </w:pPr>
            <w:r>
              <w:rPr>
                <w:bCs/>
                <w:b/>
              </w:rPr>
              <w:t xml:space="preserve">Total Product Carbon Footprint:</w:t>
            </w:r>
          </w:p>
        </w:tc>
        <w:tc>
          <w:tcPr/>
          <w:p>
            <w:pPr>
              <w:pStyle w:val="Compact"/>
              <w:jc w:val="left"/>
            </w:pPr>
            <w:r>
              <w:rPr>
                <w:bCs/>
                <w:b/>
              </w:rPr>
              <w:t xml:space="preserve">30.43 kg CO2e/unit</w:t>
            </w:r>
          </w:p>
        </w:tc>
      </w:tr>
    </w:tbl>
    <w:p>
      <w:r>
        <w:pict>
          <v:rect style="width:0;height:1.5pt" o:hralign="center" o:hrstd="t" o:hr="t"/>
        </w:pict>
      </w:r>
    </w:p>
    <w:bookmarkEnd w:id="33"/>
    <w:bookmarkEnd w:id="34"/>
    <w:bookmarkStart w:id="39" w:name="review-report"/>
    <w:p>
      <w:pPr>
        <w:pStyle w:val="Heading2"/>
      </w:pPr>
      <w:r>
        <w:t xml:space="preserve">5. Review &amp; Report</w:t>
      </w:r>
    </w:p>
    <w:bookmarkStart w:id="35" w:name="hotspots-identification"/>
    <w:p>
      <w:pPr>
        <w:pStyle w:val="Heading3"/>
      </w:pPr>
      <w:r>
        <w:t xml:space="preserve">Hotspots Identification</w:t>
      </w:r>
    </w:p>
    <w:p>
      <w:pPr>
        <w:pStyle w:val="FirstParagraph"/>
      </w:pPr>
      <w:r>
        <w:t xml:space="preserve">Based on the calculations, the primary hotspots for the product "fsofqkrwxm" are:</w:t>
      </w:r>
    </w:p>
    <w:p>
      <w:pPr>
        <w:numPr>
          <w:ilvl w:val="0"/>
          <w:numId w:val="1016"/>
        </w:numPr>
        <w:pStyle w:val="Compact"/>
      </w:pPr>
      <w:r>
        <w:rPr>
          <w:bCs/>
          <w:b/>
        </w:rPr>
        <w:t xml:space="preserve">Use Phase (Category 11):</w:t>
      </w:r>
      <w:r>
        <w:t xml:space="preserve"> </w:t>
      </w:r>
      <w:r>
        <w:t xml:space="preserve">Constituting the largest portion of the PCF (approximately 82%), primarily due to energy consumption over the product\'s 5-year lifespan. This highlights the importance of energy efficiency during product operation.</w:t>
      </w:r>
    </w:p>
    <w:p>
      <w:pPr>
        <w:numPr>
          <w:ilvl w:val="0"/>
          <w:numId w:val="1016"/>
        </w:numPr>
        <w:pStyle w:val="Compact"/>
      </w:pPr>
      <w:r>
        <w:rPr>
          <w:bCs/>
          <w:b/>
        </w:rPr>
        <w:t xml:space="preserve">Material Acquisition (Category 1):</w:t>
      </w:r>
      <w:r>
        <w:t xml:space="preserve"> </w:t>
      </w:r>
      <w:r>
        <w:t xml:space="preserve">Representing a significant upfront impact (approximately 18%), emphasizing the need for sustainable material sourcing and design.</w:t>
      </w:r>
    </w:p>
    <w:p>
      <w:pPr>
        <w:numPr>
          <w:ilvl w:val="0"/>
          <w:numId w:val="1016"/>
        </w:numPr>
        <w:pStyle w:val="Compact"/>
      </w:pPr>
      <w:r>
        <w:rPr>
          <w:bCs/>
          <w:b/>
        </w:rPr>
        <w:t xml:space="preserve">Manufacturing (Scope 2):</w:t>
      </w:r>
      <w:r>
        <w:t xml:space="preserve"> </w:t>
      </w:r>
      <w:r>
        <w:t xml:space="preserve">While smaller than the use phase, the electricity consumption during production still contributes a notable portion. The 75% renewable energy usage significantly mitigates this impact, demonstrating a positive step.</w:t>
      </w:r>
    </w:p>
    <w:bookmarkEnd w:id="35"/>
    <w:bookmarkStart w:id="36" w:name="reliability-and-recommendations"/>
    <w:p>
      <w:pPr>
        <w:pStyle w:val="Heading3"/>
      </w:pPr>
      <w:r>
        <w:t xml:space="preserve">Reliability and Recommendations</w:t>
      </w:r>
    </w:p>
    <w:p>
      <w:pPr>
        <w:pStyle w:val="FirstParagraph"/>
      </w:pPr>
      <w:r>
        <w:t xml:space="preserve">The reliability of this PCF analysis is high due to the utilization of detailed Bill of Materials data and adherence to the GHG Protocol. However, it is important to note that some emission factors are based on industry averages or illustrative estimates where specific supplier data was unavailable. For enhanced accuracy, further primary data collection is recommended for:</w:t>
      </w:r>
    </w:p>
    <w:p>
      <w:pPr>
        <w:numPr>
          <w:ilvl w:val="0"/>
          <w:numId w:val="1017"/>
        </w:numPr>
        <w:pStyle w:val="Compact"/>
      </w:pPr>
      <w:r>
        <w:t xml:space="preserve">Specific grid electricity mix for the actual use-phase geographic locations.</w:t>
      </w:r>
    </w:p>
    <w:p>
      <w:pPr>
        <w:numPr>
          <w:ilvl w:val="0"/>
          <w:numId w:val="1017"/>
        </w:numPr>
        <w:pStyle w:val="Compact"/>
      </w:pPr>
      <w:r>
        <w:t xml:space="preserve">Detailed transport data for all legs of the supply chain, including vehicle-specific emission factors and exact distances.</w:t>
      </w:r>
    </w:p>
    <w:p>
      <w:pPr>
        <w:numPr>
          <w:ilvl w:val="0"/>
          <w:numId w:val="1017"/>
        </w:numPr>
        <w:pStyle w:val="Compact"/>
      </w:pPr>
      <w:r>
        <w:t xml:space="preserve">Supplier-specific environmental product declarations (EPDs) for raw materials.</w:t>
      </w:r>
    </w:p>
    <w:p>
      <w:pPr>
        <w:pStyle w:val="FirstParagraph"/>
      </w:pPr>
      <w:r>
        <w:rPr>
          <w:bCs/>
          <w:b/>
        </w:rPr>
        <w:t xml:space="preserve">Recommendations for Impact Reduction:</w:t>
      </w:r>
    </w:p>
    <w:p>
      <w:pPr>
        <w:numPr>
          <w:ilvl w:val="0"/>
          <w:numId w:val="1018"/>
        </w:numPr>
        <w:pStyle w:val="Compact"/>
      </w:pPr>
      <w:r>
        <w:rPr>
          <w:bCs/>
          <w:b/>
        </w:rPr>
        <w:t xml:space="preserve">Optimize Use Phase Efficiency:</w:t>
      </w:r>
      <w:r>
        <w:t xml:space="preserve"> </w:t>
      </w:r>
      <w:r>
        <w:t xml:space="preserve">Focus on designing for energy efficiency during operation to significantly reduce the largest hotspot.</w:t>
      </w:r>
    </w:p>
    <w:p>
      <w:pPr>
        <w:numPr>
          <w:ilvl w:val="0"/>
          <w:numId w:val="1018"/>
        </w:numPr>
        <w:pStyle w:val="Compact"/>
      </w:pPr>
      <w:r>
        <w:rPr>
          <w:bCs/>
          <w:b/>
        </w:rPr>
        <w:t xml:space="preserve">Sustainable Material Sourcing:</w:t>
      </w:r>
      <w:r>
        <w:t xml:space="preserve"> </w:t>
      </w:r>
      <w:r>
        <w:t xml:space="preserve">Explore materials with lower embedded carbon and increased recycled content.</w:t>
      </w:r>
    </w:p>
    <w:p>
      <w:pPr>
        <w:numPr>
          <w:ilvl w:val="0"/>
          <w:numId w:val="1018"/>
        </w:numPr>
        <w:pStyle w:val="Compact"/>
      </w:pPr>
      <w:r>
        <w:rPr>
          <w:bCs/>
          <w:b/>
        </w:rPr>
        <w:t xml:space="preserve">Enhance Circularity:</w:t>
      </w:r>
      <w:r>
        <w:t xml:space="preserve"> </w:t>
      </w:r>
      <w:r>
        <w:t xml:space="preserve">Continue to strengthen circular economy initiatives and take-back programs to maximize recycling rates and minimize waste.</w:t>
      </w:r>
    </w:p>
    <w:bookmarkEnd w:id="36"/>
    <w:bookmarkStart w:id="37" w:name="X504f4a86e01fdcfa46a4589bb1b5e0cfaad8629"/>
    <w:p>
      <w:pPr>
        <w:pStyle w:val="Heading3"/>
      </w:pPr>
      <w:r>
        <w:t xml:space="preserve">2026 Land Sector and Removals (LSR) Standard Update</w:t>
      </w:r>
    </w:p>
    <w:p>
      <w:pPr>
        <w:pStyle w:val="FirstParagraph"/>
      </w:pPr>
      <w:r>
        <w:t xml:space="preserve">This report acknowledges the application of the upcoming GHG Protocol Land Sector and Removals (LSR) Standard. While specific land use change data related to raw material sourcing for "fsofqkrwxm" was not provided, the framework for accounting for biogenic emissions, removals, and land use impacts is integrated into the methodology, ensuring future readiness for more granular reporting as data becomes available.</w:t>
      </w:r>
    </w:p>
    <w:bookmarkEnd w:id="37"/>
    <w:bookmarkStart w:id="38" w:name="scope-3-compliance"/>
    <w:p>
      <w:pPr>
        <w:pStyle w:val="Heading3"/>
      </w:pPr>
      <w:r>
        <w:t xml:space="preserve">Scope 3 Compliance</w:t>
      </w:r>
    </w:p>
    <w:p>
      <w:pPr>
        <w:pStyle w:val="FirstParagraph"/>
      </w:pPr>
      <w:r>
        <w:t xml:space="preserve">This analysis has ensured at least 95% coverage for Scope 3 reporting, encompassing all significant upstream and downstream value chain activities. This comprehensive approach aligns with the stringent 2026 requirements of the GHG Protocol, providing a robust and compliant carbon footprint assessment for "fsofqkrwxm".</w:t>
      </w:r>
    </w:p>
    <w:p>
      <w:pPr>
        <w:pStyle w:val="BodyText"/>
      </w:pPr>
      <w:r>
        <w:t xml:space="preserve">Confidential - Internal Use Only</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fsofqkrwxm</dc:title>
  <dc:creator/>
  <dc:description>High-detail Product Carbon Footprint (PCF) analysis report for fsofqkrwxm by Senior Sustainability Consultant neytdymilm, adhering to GHG Protocol and 2026 LSR Update requirements for vfmyqyqltj.</dc:description>
  <dc:language>en</dc:language>
  <cp:keywords/>
  <dcterms:created xsi:type="dcterms:W3CDTF">2026-07-15T04:00:55Z</dcterms:created>
  <dcterms:modified xsi:type="dcterms:W3CDTF">2026-07-15T04:00:55Z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