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fsnvwkirry</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fsnvwkirry</w:t>
      </w:r>
    </w:p>
    <w:p>
      <w:pPr>
        <w:pStyle w:val="BodyText"/>
      </w:pPr>
      <w:r>
        <w:rPr>
          <w:bCs/>
          <w:b/>
        </w:rPr>
        <w:t xml:space="preserve">Company Name:</w:t>
      </w:r>
      <w:r>
        <w:t xml:space="preserve"> </w:t>
      </w:r>
      <w:r>
        <w:t xml:space="preserve">gfhmkpqnzf</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mvtekzholf</w:t>
      </w:r>
    </w:p>
    <w:p>
      <w:pPr>
        <w:pStyle w:val="BodyText"/>
      </w:pPr>
      <w:r>
        <w:t xml:space="preserve">Disclaimer: This report is generated based on available data and industry standards. While every effort has been made to ensure accuracy, the actual environmental impacts may vary. Placeholder values have been used where specific data was not provided.</w:t>
      </w:r>
    </w:p>
    <w:bookmarkEnd w:id="20"/>
    <w:bookmarkStart w:id="48" w:name="Xea4de79ddeaa79150b4cb0822e01137e6908672"/>
    <w:p>
      <w:pPr>
        <w:pStyle w:val="Heading1"/>
      </w:pPr>
      <w:r>
        <w:t xml:space="preserve">Product Carbon Footprint Report for fsnvwkirry</w:t>
      </w:r>
    </w:p>
    <w:p>
      <w:pPr>
        <w:pStyle w:val="FirstParagraph"/>
      </w:pPr>
      <w:r>
        <w:t xml:space="preserve">Generated Date: May 22,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\'fsnvwkirry\', manufactured by gfhmkpqnzf. The analysis adheres to the GHG Protocol standards, including the 2026 Land Sector and Removals (LSR) update and stringent Scope 3 compliance requirements. The total carbon footprint of \'fsnvwkirry\' is calculated to be</w:t>
      </w:r>
      <w:r>
        <w:t xml:space="preserve"> </w:t>
      </w:r>
      <w:r>
        <w:rPr>
          <w:bCs/>
          <w:b/>
        </w:rPr>
        <w:t xml:space="preserve">11.15 kg CO2e per functional unit</w:t>
      </w:r>
      <w:r>
        <w:t xml:space="preserve">. The Use Phase and Material Acquisition &amp; Processing phases are identified as the primary hotspots for emissions, underscoring areas for strategic intervention to reduce the product\'s environmental impact. This assessment is crucial for gfhmkpqnzf to understand its product\'s lifecycle impacts, inform sustainable design choices, and meet evolving disclosure requirements.</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scope of this Product Carbon Footprint (PCF) analysis for \'fsnvwkirry\' is defined as follows:</w:t>
      </w:r>
    </w:p>
    <w:p>
      <w:pPr>
        <w:numPr>
          <w:ilvl w:val="0"/>
          <w:numId w:val="1001"/>
        </w:numPr>
        <w:pStyle w:val="Compact"/>
      </w:pPr>
      <w:r>
        <w:rPr>
          <w:bCs/>
          <w:b/>
        </w:rPr>
        <w:t xml:space="preserve">Functional Unit:</w:t>
      </w:r>
      <w:r>
        <w:t xml:space="preserve"> </w:t>
      </w:r>
      <w:r>
        <w:t xml:space="preserve">1.0 unit of \'fsnvwkirry\'. This serves as the reference unit to which all inputs and outputs are related.</w:t>
      </w:r>
    </w:p>
    <w:p>
      <w:pPr>
        <w:numPr>
          <w:ilvl w:val="0"/>
          <w:numId w:val="1001"/>
        </w:numPr>
        <w:pStyle w:val="Compact"/>
      </w:pPr>
      <w:r>
        <w:rPr>
          <w:bCs/>
          <w:b/>
        </w:rPr>
        <w:t xml:space="preserve">System Boundary:</w:t>
      </w:r>
      <w:r>
        <w:t xml:space="preserve"> </w:t>
      </w:r>
      <w:r>
        <w:t xml:space="preserve">Cradle-to-grave, specifically "factory_gate" for the initial assessment, extended to include Use Phase and End-of-Life scenarios. This encompasses material acquisition, manufacturing, transportation, product use, and end-of-life treatment.</w:t>
      </w:r>
    </w:p>
    <w:p>
      <w:pPr>
        <w:numPr>
          <w:ilvl w:val="0"/>
          <w:numId w:val="1001"/>
        </w:numPr>
        <w:pStyle w:val="Compact"/>
      </w:pPr>
      <w:r>
        <w:rPr>
          <w:bCs/>
          <w:b/>
        </w:rPr>
        <w:t xml:space="preserve">Geographic Scope:</w:t>
      </w:r>
      <w:r>
        <w:t xml:space="preserve"> </w:t>
      </w:r>
      <w:r>
        <w:t xml:space="preserve">Final Production Country: China, with a Supply Chain Focus on Europe. This acknowledges global sourcing and production while considering European market distribution and consumption patterns.</w:t>
      </w:r>
    </w:p>
    <w:p>
      <w:pPr>
        <w:numPr>
          <w:ilvl w:val="0"/>
          <w:numId w:val="1001"/>
        </w:numPr>
        <w:pStyle w:val="Compact"/>
      </w:pPr>
      <w:r>
        <w:rPr>
          <w:bCs/>
          <w:b/>
        </w:rPr>
        <w:t xml:space="preserve">Accounting Standard:</w:t>
      </w:r>
      <w:r>
        <w:t xml:space="preserve"> </w:t>
      </w:r>
      <w:r>
        <w:t xml:space="preserve">GHG Protocol (A Corporate Accounting and Reporting Standard and Corporate Value Chain (Scope 3) Accounting and Reporting Standard).</w:t>
      </w:r>
    </w:p>
    <w:p>
      <w:pPr>
        <w:numPr>
          <w:ilvl w:val="0"/>
          <w:numId w:val="1001"/>
        </w:numPr>
        <w:pStyle w:val="Compact"/>
      </w:pPr>
      <w:r>
        <w:rPr>
          <w:bCs/>
          <w:b/>
        </w:rPr>
        <w:t xml:space="preserve">Allocation:</w:t>
      </w:r>
      <w:r>
        <w:t xml:space="preserve"> </w:t>
      </w:r>
      <w:r>
        <w:t xml:space="preserve">Emissions are allocated directly to the functional unit (1.0 unit of fsnvwkirry) based on mass, energy consumption, and distance-based transportation.</w:t>
      </w:r>
    </w:p>
    <w:p>
      <w:r>
        <w:pict>
          <v:rect style="width:0;height:1.5pt" o:hralign="center" o:hrstd="t" o:hr="t"/>
        </w:pict>
      </w:r>
    </w:p>
    <w:bookmarkEnd w:id="22"/>
    <w:bookmarkStart w:id="28" w:name="X9b3f95e3515408304ff4a9cec9842f2424d7a20"/>
    <w:p>
      <w:pPr>
        <w:pStyle w:val="Heading2"/>
      </w:pPr>
      <w:r>
        <w:t xml:space="preserve">2. Map Lifecycle (LCI Inventory Stages) &amp; 3. Collect Data (Primary/Secondary Data Points)</w:t>
      </w:r>
    </w:p>
    <w:p>
      <w:pPr>
        <w:pStyle w:val="FirstParagraph"/>
      </w:pPr>
      <w:r>
        <w:t xml:space="preserve">The lifecycle of \'fsnvwkirry\' is mapped into five key stages: Material Acquisition &amp; Processing, Production, Transportation, Use Phase, and End-of-Life. Data for each stage is collected using a combination of provided primary data and secondary, industry-standard emission factors (e.g., from Ecoinvent/DEFRA) where primary data was not specified. Given that the detailed Bill of Materials (BOM) was provided as a placeholder (\'xnvupeqq\'), the following table uses illustrative data to demonstrate the calculation methodology.</w:t>
      </w:r>
    </w:p>
    <w:bookmarkStart w:id="23" w:name="X97d34a4e107674f0f8b0dc154e6ab9cd84d5362"/>
    <w:p>
      <w:pPr>
        <w:pStyle w:val="Heading3"/>
      </w:pPr>
      <w:r>
        <w:t xml:space="preserve">Detailed Bill of Materials (BOM) - Illustrative Data</w:t>
      </w:r>
    </w:p>
    <w:p>
      <w:pPr>
        <w:pStyle w:val="FirstParagraph"/>
      </w:pPr>
      <w:r>
        <w:rPr>
          <w:iCs/>
          <w:i/>
        </w:rPr>
        <w:t xml:space="preserve">Note: The following BOM data is illustrative, based on common product components and industry average emission factors, as the specific content for \'xnvupeqq\' was not provided. Actual calculations would utilize the precise data from the provided BOM.</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0.80</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12.0</w:t>
            </w:r>
          </w:p>
        </w:tc>
        <w:tc>
          <w:tcPr/>
          <w:p>
            <w:pPr>
              <w:pStyle w:val="Compact"/>
              <w:jc w:val="left"/>
            </w:pPr>
            <w:r>
              <w:t xml:space="preserve">1.20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w:t>
            </w:r>
          </w:p>
        </w:tc>
        <w:tc>
          <w:tcPr/>
          <w:p>
            <w:pPr>
              <w:pStyle w:val="Compact"/>
              <w:jc w:val="left"/>
            </w:pPr>
            <w:r>
              <w:t xml:space="preserve">0.125</w:t>
            </w:r>
          </w:p>
        </w:tc>
      </w:tr>
      <w:tr>
        <w:tc>
          <w:tcPr/>
          <w:p>
            <w:pPr>
              <w:pStyle w:val="Compact"/>
              <w:jc w:val="left"/>
            </w:pPr>
            <w:r>
              <w:t xml:space="preserve">5</w:t>
            </w:r>
          </w:p>
        </w:tc>
        <w:tc>
          <w:tcPr/>
          <w:p>
            <w:pPr>
              <w:pStyle w:val="Compact"/>
              <w:jc w:val="left"/>
            </w:pPr>
            <w:r>
              <w:t xml:space="preserve">Li-ion Battery</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20.0</w:t>
            </w:r>
          </w:p>
        </w:tc>
        <w:tc>
          <w:tcPr/>
          <w:p>
            <w:pPr>
              <w:pStyle w:val="Compact"/>
              <w:jc w:val="left"/>
            </w:pPr>
            <w:r>
              <w:t xml:space="preserve">1.60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0.5</w:t>
            </w:r>
          </w:p>
        </w:tc>
        <w:tc>
          <w:tcPr/>
          <w:p>
            <w:pPr>
              <w:pStyle w:val="Compact"/>
              <w:jc w:val="left"/>
            </w:pPr>
            <w:r>
              <w:t xml:space="preserve">0.075</w:t>
            </w:r>
          </w:p>
        </w:tc>
      </w:tr>
      <w:tr>
        <w:tc>
          <w:tcPr>
            <w:gridSpan w:val="7"/>
          </w:tcPr>
          <w:p>
            <w:pPr>
              <w:pStyle w:val="Compact"/>
              <w:jc w:val="right"/>
            </w:pPr>
            <w:r>
              <w:rPr>
                <w:bCs/>
                <w:b/>
              </w:rPr>
              <w:t xml:space="preserve">Total Material Acquisition &amp; Processing Impact:</w:t>
            </w:r>
          </w:p>
        </w:tc>
        <w:tc>
          <w:tcPr/>
          <w:p>
            <w:pPr>
              <w:pStyle w:val="Compact"/>
              <w:jc w:val="left"/>
            </w:pPr>
            <w:r>
              <w:rPr>
                <w:bCs/>
                <w:b/>
              </w:rPr>
              <w:t xml:space="preserve">7.55</w:t>
            </w:r>
          </w:p>
        </w:tc>
      </w:tr>
    </w:tbl>
    <w:bookmarkEnd w:id="23"/>
    <w:bookmarkStart w:id="24" w:name="energy-inputs-for-production"/>
    <w:p>
      <w:pPr>
        <w:pStyle w:val="Heading3"/>
      </w:pPr>
      <w:r>
        <w:t xml:space="preserve">Energy Inputs for Production</w:t>
      </w:r>
    </w:p>
    <w:p>
      <w:pPr>
        <w:numPr>
          <w:ilvl w:val="0"/>
          <w:numId w:val="1002"/>
        </w:numPr>
        <w:pStyle w:val="Compact"/>
      </w:pPr>
      <w:r>
        <w:rPr>
          <w:bCs/>
          <w:b/>
        </w:rPr>
        <w:t xml:space="preserve">Renewable Energy Usage (hukdshoxqg):</w:t>
      </w:r>
      <w:r>
        <w:t xml:space="preserve"> </w:t>
      </w:r>
      <w:r>
        <w:t xml:space="preserve">60% of electricity purchased for production is from renewable sources.</w:t>
      </w:r>
    </w:p>
    <w:p>
      <w:pPr>
        <w:numPr>
          <w:ilvl w:val="0"/>
          <w:numId w:val="1002"/>
        </w:numPr>
        <w:pStyle w:val="Compact"/>
      </w:pPr>
      <w:r>
        <w:rPr>
          <w:bCs/>
          <w:b/>
        </w:rPr>
        <w:t xml:space="preserve">Energy Intensity (pxttqdookj):</w:t>
      </w:r>
      <w:r>
        <w:t xml:space="preserve"> </w:t>
      </w:r>
      <w:r>
        <w:t xml:space="preserve">3.5 kWh per unit of product.</w:t>
      </w:r>
    </w:p>
    <w:p>
      <w:pPr>
        <w:numPr>
          <w:ilvl w:val="0"/>
          <w:numId w:val="1002"/>
        </w:numPr>
        <w:pStyle w:val="Compact"/>
      </w:pPr>
      <w:r>
        <w:rPr>
          <w:bCs/>
          <w:b/>
        </w:rPr>
        <w:t xml:space="preserve">Grid Electricity Emission Factor (China):</w:t>
      </w:r>
      <w:r>
        <w:t xml:space="preserve"> </w:t>
      </w:r>
      <w:r>
        <w:t xml:space="preserve">0.5568 kg CO2e/kWh (MEE 2021).</w:t>
      </w:r>
    </w:p>
    <w:p>
      <w:pPr>
        <w:numPr>
          <w:ilvl w:val="0"/>
          <w:numId w:val="1002"/>
        </w:numPr>
        <w:pStyle w:val="Compact"/>
      </w:pPr>
      <w:r>
        <w:rPr>
          <w:bCs/>
          <w:b/>
        </w:rPr>
        <w:t xml:space="preserve">Renewable Electricity Emission Factor:</w:t>
      </w:r>
      <w:r>
        <w:t xml:space="preserve"> </w:t>
      </w:r>
      <w:r>
        <w:t xml:space="preserve">0 kg CO2e/kWh (assuming certified zero-emission sources).</w:t>
      </w:r>
    </w:p>
    <w:bookmarkEnd w:id="24"/>
    <w:bookmarkStart w:id="25" w:name="transportation-data"/>
    <w:p>
      <w:pPr>
        <w:pStyle w:val="Heading3"/>
      </w:pPr>
      <w:r>
        <w:t xml:space="preserve">Transportation Data</w:t>
      </w:r>
    </w:p>
    <w:p>
      <w:pPr>
        <w:numPr>
          <w:ilvl w:val="0"/>
          <w:numId w:val="1003"/>
        </w:numPr>
        <w:pStyle w:val="Compact"/>
      </w:pPr>
      <w:r>
        <w:rPr>
          <w:bCs/>
          <w:b/>
        </w:rPr>
        <w:t xml:space="preserve">Product Weight for Transport:</w:t>
      </w:r>
      <w:r>
        <w:t xml:space="preserve"> </w:t>
      </w:r>
      <w:r>
        <w:t xml:space="preserve">Approximately 1.03 kg (sum of BOM component weights).</w:t>
      </w:r>
    </w:p>
    <w:p>
      <w:pPr>
        <w:numPr>
          <w:ilvl w:val="0"/>
          <w:numId w:val="1003"/>
        </w:numPr>
        <w:pStyle w:val="Compact"/>
      </w:pPr>
      <w:r>
        <w:rPr>
          <w:bCs/>
          <w:b/>
        </w:rPr>
        <w:t xml:space="preserve">Transport Mode (Select Mode):</w:t>
      </w:r>
    </w:p>
    <w:p>
      <w:pPr>
        <w:numPr>
          <w:ilvl w:val="1"/>
          <w:numId w:val="1004"/>
        </w:numPr>
        <w:pStyle w:val="Compact"/>
      </w:pPr>
      <w:r>
        <w:t xml:space="preserve">Upstream (Raw Materials to China Factory): Ocean Freight, Road Freight.</w:t>
      </w:r>
    </w:p>
    <w:p>
      <w:pPr>
        <w:numPr>
          <w:ilvl w:val="1"/>
          <w:numId w:val="1004"/>
        </w:numPr>
        <w:pStyle w:val="Compact"/>
      </w:pPr>
      <w:r>
        <w:t xml:space="preserve">Downstream (Factory to Customer, within Europe Focused supply chain): Ocean Freight, Road Freight.</w:t>
      </w:r>
    </w:p>
    <w:p>
      <w:pPr>
        <w:numPr>
          <w:ilvl w:val="0"/>
          <w:numId w:val="1003"/>
        </w:numPr>
        <w:pStyle w:val="Compact"/>
      </w:pPr>
      <w:r>
        <w:rPr>
          <w:bCs/>
          <w:b/>
        </w:rPr>
        <w:t xml:space="preserve">Transport Distance (snhjtuxvtp):</w:t>
      </w:r>
    </w:p>
    <w:p>
      <w:pPr>
        <w:numPr>
          <w:ilvl w:val="1"/>
          <w:numId w:val="1005"/>
        </w:numPr>
        <w:pStyle w:val="Compact"/>
      </w:pPr>
      <w:r>
        <w:t xml:space="preserve">Upstream Ocean Freight: 12,000 km (e.g., Europe to China).</w:t>
      </w:r>
    </w:p>
    <w:p>
      <w:pPr>
        <w:numPr>
          <w:ilvl w:val="1"/>
          <w:numId w:val="1005"/>
        </w:numPr>
        <w:pStyle w:val="Compact"/>
      </w:pPr>
      <w:r>
        <w:t xml:space="preserve">Upstream Road Freight: 200 km (within China).</w:t>
      </w:r>
    </w:p>
    <w:p>
      <w:pPr>
        <w:numPr>
          <w:ilvl w:val="1"/>
          <w:numId w:val="1005"/>
        </w:numPr>
        <w:pStyle w:val="Compact"/>
      </w:pPr>
      <w:r>
        <w:t xml:space="preserve">Downstream Road Freight (Factory to Port): 50 km (within China).</w:t>
      </w:r>
    </w:p>
    <w:p>
      <w:pPr>
        <w:numPr>
          <w:ilvl w:val="1"/>
          <w:numId w:val="1005"/>
        </w:numPr>
        <w:pStyle w:val="Compact"/>
      </w:pPr>
      <w:r>
        <w:t xml:space="preserve">Downstream Ocean Freight: 12,000 km (e.g., China to Europe).</w:t>
      </w:r>
    </w:p>
    <w:p>
      <w:pPr>
        <w:numPr>
          <w:ilvl w:val="0"/>
          <w:numId w:val="1003"/>
        </w:numPr>
        <w:pStyle w:val="Compact"/>
      </w:pPr>
      <w:r>
        <w:rPr>
          <w:bCs/>
          <w:b/>
        </w:rPr>
        <w:t xml:space="preserve">Last-Mile Delivery Channel (Delivery Type):</w:t>
      </w:r>
      <w:r>
        <w:t xml:space="preserve"> </w:t>
      </w:r>
      <w:r>
        <w:t xml:space="preserve">Road Van (200 km in Europe).</w:t>
      </w:r>
    </w:p>
    <w:p>
      <w:pPr>
        <w:numPr>
          <w:ilvl w:val="0"/>
          <w:numId w:val="1003"/>
        </w:numPr>
        <w:pStyle w:val="Compact"/>
      </w:pPr>
      <w:r>
        <w:rPr>
          <w:bCs/>
          <w:b/>
        </w:rPr>
        <w:t xml:space="preserve">Emission Factors:</w:t>
      </w:r>
    </w:p>
    <w:p>
      <w:pPr>
        <w:numPr>
          <w:ilvl w:val="1"/>
          <w:numId w:val="1006"/>
        </w:numPr>
        <w:pStyle w:val="Compact"/>
      </w:pPr>
      <w:r>
        <w:t xml:space="preserve">Ocean Freight: 0.016 kg CO2e/tonne-km.</w:t>
      </w:r>
    </w:p>
    <w:p>
      <w:pPr>
        <w:numPr>
          <w:ilvl w:val="1"/>
          <w:numId w:val="1006"/>
        </w:numPr>
        <w:pStyle w:val="Compact"/>
      </w:pPr>
      <w:r>
        <w:t xml:space="preserve">Road Freight (Heavy Truck): 0.1 kg CO2e/tonne-km.</w:t>
      </w:r>
    </w:p>
    <w:p>
      <w:pPr>
        <w:numPr>
          <w:ilvl w:val="1"/>
          <w:numId w:val="1006"/>
        </w:numPr>
        <w:pStyle w:val="Compact"/>
      </w:pPr>
      <w:r>
        <w:t xml:space="preserve">Road Freight (Light Commercial Van / Last-Mile): 0.2 kg CO2e/tonne-km (higher for smaller vehicles/less efficient routes).</w:t>
      </w:r>
    </w:p>
    <w:bookmarkEnd w:id="25"/>
    <w:bookmarkStart w:id="26" w:name="use-phase-data"/>
    <w:p>
      <w:pPr>
        <w:pStyle w:val="Heading3"/>
      </w:pPr>
      <w:r>
        <w:t xml:space="preserve">Use Phase Data</w:t>
      </w:r>
    </w:p>
    <w:p>
      <w:pPr>
        <w:numPr>
          <w:ilvl w:val="0"/>
          <w:numId w:val="1007"/>
        </w:numPr>
        <w:pStyle w:val="Compact"/>
      </w:pPr>
      <w:r>
        <w:rPr>
          <w:bCs/>
          <w:b/>
        </w:rPr>
        <w:t xml:space="preserve">Product Lifespan (xdzliymmek):</w:t>
      </w:r>
      <w:r>
        <w:t xml:space="preserve"> </w:t>
      </w:r>
      <w:r>
        <w:t xml:space="preserve">3 years.</w:t>
      </w:r>
    </w:p>
    <w:p>
      <w:pPr>
        <w:numPr>
          <w:ilvl w:val="0"/>
          <w:numId w:val="1007"/>
        </w:numPr>
        <w:pStyle w:val="Compact"/>
      </w:pPr>
      <w:r>
        <w:rPr>
          <w:bCs/>
          <w:b/>
        </w:rPr>
        <w:t xml:space="preserve">Energy Consumption in Use (rvhzxrjqky):</w:t>
      </w:r>
      <w:r>
        <w:t xml:space="preserve"> </w:t>
      </w:r>
      <w:r>
        <w:t xml:space="preserve">5 kWh per year.</w:t>
      </w:r>
    </w:p>
    <w:p>
      <w:pPr>
        <w:numPr>
          <w:ilvl w:val="0"/>
          <w:numId w:val="1007"/>
        </w:numPr>
        <w:pStyle w:val="Compact"/>
      </w:pPr>
      <w:r>
        <w:rPr>
          <w:bCs/>
          <w:b/>
        </w:rPr>
        <w:t xml:space="preserve">Electricity Emission Factor (European Grid Mix - illustrative):</w:t>
      </w:r>
      <w:r>
        <w:t xml:space="preserve"> </w:t>
      </w:r>
      <w:r>
        <w:t xml:space="preserve">0.2 kg CO2e/kWh.</w:t>
      </w:r>
    </w:p>
    <w:bookmarkEnd w:id="26"/>
    <w:bookmarkStart w:id="27" w:name="end-of-life-eol-scenarios"/>
    <w:p>
      <w:pPr>
        <w:pStyle w:val="Heading3"/>
      </w:pPr>
      <w:r>
        <w:t xml:space="preserve">End-of-Life (EoL) Scenarios</w:t>
      </w:r>
    </w:p>
    <w:p>
      <w:pPr>
        <w:numPr>
          <w:ilvl w:val="0"/>
          <w:numId w:val="1008"/>
        </w:numPr>
        <w:pStyle w:val="Compact"/>
      </w:pPr>
      <w:r>
        <w:rPr>
          <w:bCs/>
          <w:b/>
        </w:rPr>
        <w:t xml:space="preserve">Recyclability Percentage (tlldouhuom):</w:t>
      </w:r>
      <w:r>
        <w:t xml:space="preserve"> </w:t>
      </w:r>
      <w:r>
        <w:t xml:space="preserve">75%.</w:t>
      </w:r>
    </w:p>
    <w:p>
      <w:pPr>
        <w:numPr>
          <w:ilvl w:val="0"/>
          <w:numId w:val="1008"/>
        </w:numPr>
        <w:pStyle w:val="Compact"/>
      </w:pPr>
      <w:r>
        <w:rPr>
          <w:bCs/>
          <w:b/>
        </w:rPr>
        <w:t xml:space="preserve">Circular/Take-back Programs (ofhruhxmnu):</w:t>
      </w:r>
      <w:r>
        <w:t xml:space="preserve"> </w:t>
      </w:r>
      <w:r>
        <w:t xml:space="preserve">Company has an established take-back program for key components.</w:t>
      </w:r>
    </w:p>
    <w:p>
      <w:pPr>
        <w:numPr>
          <w:ilvl w:val="0"/>
          <w:numId w:val="1008"/>
        </w:numPr>
        <w:pStyle w:val="Compact"/>
      </w:pPr>
      <w:r>
        <w:rPr>
          <w:bCs/>
          <w:b/>
        </w:rPr>
        <w:t xml:space="preserve">Emission Factors:</w:t>
      </w:r>
    </w:p>
    <w:p>
      <w:pPr>
        <w:numPr>
          <w:ilvl w:val="1"/>
          <w:numId w:val="1009"/>
        </w:numPr>
        <w:pStyle w:val="Compact"/>
      </w:pPr>
      <w:r>
        <w:t xml:space="preserve">Landfill (Mixed Waste): 0.5 kg CO2e/kg.</w:t>
      </w:r>
    </w:p>
    <w:p>
      <w:pPr>
        <w:numPr>
          <w:ilvl w:val="1"/>
          <w:numId w:val="1009"/>
        </w:numPr>
        <w:pStyle w:val="Compact"/>
      </w:pPr>
      <w:r>
        <w:t xml:space="preserve">Recycling Credit (Illustrative for avoided virgin material): -1.0 kg CO2e/kg.</w:t>
      </w:r>
    </w:p>
    <w:p>
      <w:r>
        <w:pict>
          <v:rect style="width:0;height:1.5pt" o:hralign="center" o:hrstd="t" o:hr="t"/>
        </w:pict>
      </w:r>
    </w:p>
    <w:bookmarkEnd w:id="27"/>
    <w:bookmarkEnd w:id="28"/>
    <w:bookmarkStart w:id="39" w:name="Xb404f6bea4a0013006ec7a9103609d9ea6643c1"/>
    <w:p>
      <w:pPr>
        <w:pStyle w:val="Heading2"/>
      </w:pPr>
      <w:r>
        <w:t xml:space="preserve">4. Calculate Emissions (Activity * Emission Factor = CO2e)</w:t>
      </w:r>
    </w:p>
    <w:p>
      <w:pPr>
        <w:pStyle w:val="FirstParagraph"/>
      </w:pPr>
      <w:r>
        <w:t xml:space="preserve">Emissions are categorized according to the GHG Protocol\'s Scope 1, Scope 2, and Scope 3 framework.</w:t>
      </w:r>
    </w:p>
    <w:bookmarkStart w:id="29" w:name="ghg-protocol-categorization"/>
    <w:p>
      <w:pPr>
        <w:pStyle w:val="Heading3"/>
      </w:pPr>
      <w:r>
        <w:t xml:space="preserve">GHG Protocol Categorization</w:t>
      </w:r>
    </w:p>
    <w:p>
      <w:pPr>
        <w:numPr>
          <w:ilvl w:val="0"/>
          <w:numId w:val="1010"/>
        </w:numPr>
        <w:pStyle w:val="Compact"/>
      </w:pPr>
      <w:r>
        <w:rPr>
          <w:bCs/>
          <w:b/>
        </w:rPr>
        <w:t xml:space="preserve">Scope 1 (Direct Emissions):</w:t>
      </w:r>
      <w:r>
        <w:t xml:space="preserve"> </w:t>
      </w:r>
      <w:r>
        <w:t xml:space="preserve">Direct GHG emissions from sources owned or controlled by the company. For this PCF, it is assumed to be 0 kg CO2e as no direct fuel combustion at the manufacturing site (beyond purchased electricity generation) is specified for the product unit.</w:t>
      </w:r>
    </w:p>
    <w:p>
      <w:pPr>
        <w:numPr>
          <w:ilvl w:val="0"/>
          <w:numId w:val="1010"/>
        </w:numPr>
        <w:pStyle w:val="Compact"/>
      </w:pPr>
      <w:r>
        <w:rPr>
          <w:bCs/>
          <w:b/>
        </w:rPr>
        <w:t xml:space="preserve">Scope 2 (Energy Indirect Emissions):</w:t>
      </w:r>
      <w:r>
        <w:t xml:space="preserve"> </w:t>
      </w:r>
      <w:r>
        <w:t xml:space="preserve">GHG emissions from the generation of purchased electricity, steam, heat, or cooling consumed by the reporting company. This includes electricity used in the production phase.</w:t>
      </w:r>
    </w:p>
    <w:p>
      <w:pPr>
        <w:numPr>
          <w:ilvl w:val="0"/>
          <w:numId w:val="1010"/>
        </w:numPr>
        <w:pStyle w:val="Compact"/>
      </w:pPr>
      <w:r>
        <w:rPr>
          <w:bCs/>
          <w:b/>
        </w:rPr>
        <w:t xml:space="preserve">Scope 3 (Other Indirect Emissions / Value Chain):</w:t>
      </w:r>
      <w:r>
        <w:t xml:space="preserve"> </w:t>
      </w:r>
      <w:r>
        <w:t xml:space="preserve">All other indirect emissions that occur in the value chain of the reporting company, both upstream and downstream. This covers material acquisition, transportation, product use, and end-of-life treatment.</w:t>
      </w:r>
    </w:p>
    <w:bookmarkEnd w:id="29"/>
    <w:bookmarkStart w:id="37" w:name="detailed-emission-calculations"/>
    <w:p>
      <w:pPr>
        <w:pStyle w:val="Heading3"/>
      </w:pPr>
      <w:r>
        <w:t xml:space="preserve">Detailed Emission Calculations</w:t>
      </w:r>
    </w:p>
    <w:bookmarkStart w:id="30" w:name="X057ce896d4a1f837cad62054593f6bf20c2c236"/>
    <w:p>
      <w:pPr>
        <w:pStyle w:val="Heading4"/>
      </w:pPr>
      <w:r>
        <w:t xml:space="preserve">Material Acquisition &amp; Processing (Scope 3, Category 1: Purchased goods and services)</w:t>
      </w:r>
    </w:p>
    <w:p>
      <w:pPr>
        <w:pStyle w:val="FirstParagraph"/>
      </w:pPr>
      <w:r>
        <w:t xml:space="preserve">This includes emissions from the extraction, production, and manufacturing of raw materials and intermediate products as per the BOM.</w:t>
      </w:r>
    </w:p>
    <w:p>
      <w:pPr>
        <w:pStyle w:val="BodyText"/>
      </w:pPr>
      <w:r>
        <w:rPr>
          <w:bCs/>
          <w:b/>
        </w:rPr>
        <w:t xml:space="preserve">Total Material Impact:</w:t>
      </w:r>
      <w:r>
        <w:t xml:space="preserve"> </w:t>
      </w:r>
      <w:r>
        <w:t xml:space="preserve">7.55 kg CO2e</w:t>
      </w:r>
    </w:p>
    <w:bookmarkEnd w:id="30"/>
    <w:bookmarkStart w:id="31" w:name="Xbccd685fa326a5a6df4e47a5891aca21cdd8f96"/>
    <w:p>
      <w:pPr>
        <w:pStyle w:val="Heading4"/>
      </w:pPr>
      <w:r>
        <w:t xml:space="preserve">Production Phase (Scope 2: Purchased electricity)</w:t>
      </w:r>
    </w:p>
    <w:p>
      <w:pPr>
        <w:pStyle w:val="FirstParagraph"/>
      </w:pPr>
      <w:r>
        <w:t xml:space="preserve">Emissions from electricity consumption at the manufacturing facility in China.</w:t>
      </w:r>
    </w:p>
    <w:p>
      <w:pPr>
        <w:numPr>
          <w:ilvl w:val="0"/>
          <w:numId w:val="1011"/>
        </w:numPr>
        <w:pStyle w:val="Compact"/>
      </w:pPr>
      <w:r>
        <w:t xml:space="preserve">Non-renewable electricity used: 3.5 kWh/unit * (1 - 0.60) = 1.4 kWh/unit</w:t>
      </w:r>
    </w:p>
    <w:p>
      <w:pPr>
        <w:numPr>
          <w:ilvl w:val="0"/>
          <w:numId w:val="1011"/>
        </w:numPr>
        <w:pStyle w:val="Compact"/>
      </w:pPr>
      <w:r>
        <w:t xml:space="preserve">Renewable electricity used: 3.5 kWh/unit * 0.60 = 2.1 kWh/unit</w:t>
      </w:r>
    </w:p>
    <w:p>
      <w:pPr>
        <w:numPr>
          <w:ilvl w:val="0"/>
          <w:numId w:val="1011"/>
        </w:numPr>
        <w:pStyle w:val="Compact"/>
      </w:pPr>
      <w:r>
        <w:t xml:space="preserve">Emissions from non-renewable electricity: 1.4 kWh/unit * 0.5568 kg CO2e/kWh = 0.77952 kg CO2e/unit</w:t>
      </w:r>
    </w:p>
    <w:p>
      <w:pPr>
        <w:numPr>
          <w:ilvl w:val="0"/>
          <w:numId w:val="1011"/>
        </w:numPr>
        <w:pStyle w:val="Compact"/>
      </w:pPr>
      <w:r>
        <w:t xml:space="preserve">Emissions from renewable electricity: 2.1 kWh/unit * 0 kg CO2e/kWh = 0 kg CO2e/unit</w:t>
      </w:r>
    </w:p>
    <w:p>
      <w:pPr>
        <w:pStyle w:val="FirstParagraph"/>
      </w:pPr>
      <w:r>
        <w:rPr>
          <w:bCs/>
          <w:b/>
        </w:rPr>
        <w:t xml:space="preserve">Total Production Emissions (Scope 2):</w:t>
      </w:r>
      <w:r>
        <w:t xml:space="preserve"> </w:t>
      </w:r>
      <w:r>
        <w:t xml:space="preserve">0.78 kg CO2e</w:t>
      </w:r>
    </w:p>
    <w:bookmarkEnd w:id="31"/>
    <w:bookmarkStart w:id="34" w:name="X8df01d91f24b9b8abc567b35fd17a78fbd079c2"/>
    <w:p>
      <w:pPr>
        <w:pStyle w:val="Heading4"/>
      </w:pPr>
      <w:r>
        <w:t xml:space="preserve">Transportation (Scope 3, Categories 4 &amp; 9: Upstream and Downstream transportation and distribution)</w:t>
      </w:r>
    </w:p>
    <w:p>
      <w:pPr>
        <w:pStyle w:val="FirstParagraph"/>
      </w:pPr>
      <w:r>
        <w:t xml:space="preserve">This covers the movement of materials to the factory and the finished product to the customer.</w:t>
      </w:r>
    </w:p>
    <w:p>
      <w:pPr>
        <w:pStyle w:val="BodyText"/>
      </w:pPr>
      <w:r>
        <w:t xml:space="preserve">Product Weight for Transport: 1.03 kg</w:t>
      </w:r>
    </w:p>
    <w:bookmarkStart w:id="32" w:name="Xeb358e539e82b3a2526e9e6c21d71a93c363782"/>
    <w:p>
      <w:pPr>
        <w:pStyle w:val="Heading5"/>
      </w:pPr>
      <w:r>
        <w:t xml:space="preserve">Upstream Transportation (Raw Materials to China Factory)</w:t>
      </w:r>
    </w:p>
    <w:p>
      <w:pPr>
        <w:numPr>
          <w:ilvl w:val="0"/>
          <w:numId w:val="1012"/>
        </w:numPr>
        <w:pStyle w:val="Compact"/>
      </w:pPr>
      <w:r>
        <w:t xml:space="preserve">Ocean Freight: (1.03 kg * 12,000 km * 0.016 kg CO2e/tkm) / 1000 = 0.198 kg CO2e</w:t>
      </w:r>
    </w:p>
    <w:p>
      <w:pPr>
        <w:numPr>
          <w:ilvl w:val="0"/>
          <w:numId w:val="1012"/>
        </w:numPr>
        <w:pStyle w:val="Compact"/>
      </w:pPr>
      <w:r>
        <w:t xml:space="preserve">Road Freight: (1.03 kg * 200 km * 0.1 kg CO2e/tkm) / 1000 = 0.021 kg CO2e</w:t>
      </w:r>
    </w:p>
    <w:p>
      <w:pPr>
        <w:pStyle w:val="FirstParagraph"/>
      </w:pPr>
      <w:r>
        <w:rPr>
          <w:bCs/>
          <w:b/>
        </w:rPr>
        <w:t xml:space="preserve">Total Upstream Transport Emissions:</w:t>
      </w:r>
      <w:r>
        <w:t xml:space="preserve"> </w:t>
      </w:r>
      <w:r>
        <w:t xml:space="preserve">0.219 kg CO2e</w:t>
      </w:r>
    </w:p>
    <w:bookmarkEnd w:id="32"/>
    <w:bookmarkStart w:id="33" w:name="X1d68b59c1ba41845d00dc015b3080c95ca1d53a"/>
    <w:p>
      <w:pPr>
        <w:pStyle w:val="Heading5"/>
      </w:pPr>
      <w:r>
        <w:t xml:space="preserve">Downstream Transportation (China Factory to Europe Customer)</w:t>
      </w:r>
    </w:p>
    <w:p>
      <w:pPr>
        <w:numPr>
          <w:ilvl w:val="0"/>
          <w:numId w:val="1013"/>
        </w:numPr>
        <w:pStyle w:val="Compact"/>
      </w:pPr>
      <w:r>
        <w:t xml:space="preserve">Road Freight (Factory to Port): (1.03 kg * 50 km * 0.1 kg CO2e/tkm) / 1000 = 0.005 kg CO2e</w:t>
      </w:r>
    </w:p>
    <w:p>
      <w:pPr>
        <w:numPr>
          <w:ilvl w:val="0"/>
          <w:numId w:val="1013"/>
        </w:numPr>
        <w:pStyle w:val="Compact"/>
      </w:pPr>
      <w:r>
        <w:t xml:space="preserve">Ocean Freight (China to Europe): (1.03 kg * 12,000 km * 0.016 kg CO2e/tkm) / 1000 = 0.198 kg CO2e</w:t>
      </w:r>
    </w:p>
    <w:p>
      <w:pPr>
        <w:numPr>
          <w:ilvl w:val="0"/>
          <w:numId w:val="1013"/>
        </w:numPr>
        <w:pStyle w:val="Compact"/>
      </w:pPr>
      <w:r>
        <w:t xml:space="preserve">Last-Mile Delivery (Road Van in Europe): (1.03 kg * 200 km * 0.2 kg CO2e/tkm) / 1000 = 0.041 kg CO2e</w:t>
      </w:r>
    </w:p>
    <w:p>
      <w:pPr>
        <w:pStyle w:val="FirstParagraph"/>
      </w:pPr>
      <w:r>
        <w:rPr>
          <w:bCs/>
          <w:b/>
        </w:rPr>
        <w:t xml:space="preserve">Total Downstream Transport Emissions:</w:t>
      </w:r>
      <w:r>
        <w:t xml:space="preserve"> </w:t>
      </w:r>
      <w:r>
        <w:t xml:space="preserve">0.244 kg CO2e</w:t>
      </w:r>
    </w:p>
    <w:p>
      <w:pPr>
        <w:pStyle w:val="BodyText"/>
      </w:pPr>
      <w:r>
        <w:rPr>
          <w:bCs/>
          <w:b/>
        </w:rPr>
        <w:t xml:space="preserve">Total Transportation Emissions (Scope 3):</w:t>
      </w:r>
      <w:r>
        <w:t xml:space="preserve"> </w:t>
      </w:r>
      <w:r>
        <w:t xml:space="preserve">0.219 + 0.244 = 0.463 kg CO2e</w:t>
      </w:r>
    </w:p>
    <w:bookmarkEnd w:id="33"/>
    <w:bookmarkEnd w:id="34"/>
    <w:bookmarkStart w:id="35" w:name="Xc8d47610e025d3b1fe367d676386ecee874efa3"/>
    <w:p>
      <w:pPr>
        <w:pStyle w:val="Heading4"/>
      </w:pPr>
      <w:r>
        <w:t xml:space="preserve">Use Phase (Scope 3, Category 11: Use of sold products)</w:t>
      </w:r>
    </w:p>
    <w:p>
      <w:pPr>
        <w:pStyle w:val="FirstParagraph"/>
      </w:pPr>
      <w:r>
        <w:t xml:space="preserve">Emissions generated during the product\'s operational life by the end-user.</w:t>
      </w:r>
    </w:p>
    <w:p>
      <w:pPr>
        <w:numPr>
          <w:ilvl w:val="0"/>
          <w:numId w:val="1014"/>
        </w:numPr>
        <w:pStyle w:val="Compact"/>
      </w:pPr>
      <w:r>
        <w:t xml:space="preserve">Total Energy Consumption: 5 kWh/year * 3 years = 15 kWh</w:t>
      </w:r>
    </w:p>
    <w:p>
      <w:pPr>
        <w:numPr>
          <w:ilvl w:val="0"/>
          <w:numId w:val="1014"/>
        </w:numPr>
        <w:pStyle w:val="Compact"/>
      </w:pPr>
      <w:r>
        <w:t xml:space="preserve">Emissions from Electricity: 15 kWh * 0.2 kg CO2e/kWh = 3.0 kg CO2e</w:t>
      </w:r>
    </w:p>
    <w:p>
      <w:pPr>
        <w:pStyle w:val="FirstParagraph"/>
      </w:pPr>
      <w:r>
        <w:rPr>
          <w:bCs/>
          <w:b/>
        </w:rPr>
        <w:t xml:space="preserve">Total Use Phase Emissions (Scope 3):</w:t>
      </w:r>
      <w:r>
        <w:t xml:space="preserve"> </w:t>
      </w:r>
      <w:r>
        <w:t xml:space="preserve">3.0 kg CO2e</w:t>
      </w:r>
    </w:p>
    <w:bookmarkEnd w:id="35"/>
    <w:bookmarkStart w:id="36" w:name="X65f813d24c0ff2e24bde4d8d9de683cc7ae7bcb"/>
    <w:p>
      <w:pPr>
        <w:pStyle w:val="Heading4"/>
      </w:pPr>
      <w:r>
        <w:t xml:space="preserve">End-of-Life (EoL) Treatment (Scope 3, Category 12: End-of-life treatment of sold products)</w:t>
      </w:r>
    </w:p>
    <w:p>
      <w:pPr>
        <w:pStyle w:val="FirstParagraph"/>
      </w:pPr>
      <w:r>
        <w:t xml:space="preserve">Emissions and credits associated with disposal and recycling.</w:t>
      </w:r>
    </w:p>
    <w:p>
      <w:pPr>
        <w:pStyle w:val="BodyText"/>
      </w:pPr>
      <w:r>
        <w:t xml:space="preserve">Product Weight for EoL: 1.03 kg</w:t>
      </w:r>
    </w:p>
    <w:p>
      <w:pPr>
        <w:numPr>
          <w:ilvl w:val="0"/>
          <w:numId w:val="1015"/>
        </w:numPr>
        <w:pStyle w:val="Compact"/>
      </w:pPr>
      <w:r>
        <w:t xml:space="preserve">Weight to Landfill: 1.03 kg * (1 - 0.75) = 0.2575 kg</w:t>
      </w:r>
    </w:p>
    <w:p>
      <w:pPr>
        <w:numPr>
          <w:ilvl w:val="0"/>
          <w:numId w:val="1015"/>
        </w:numPr>
        <w:pStyle w:val="Compact"/>
      </w:pPr>
      <w:r>
        <w:t xml:space="preserve">Weight Recycled: 1.03 kg * 0.75 = 0.7725 kg</w:t>
      </w:r>
    </w:p>
    <w:p>
      <w:pPr>
        <w:numPr>
          <w:ilvl w:val="0"/>
          <w:numId w:val="1015"/>
        </w:numPr>
        <w:pStyle w:val="Compact"/>
      </w:pPr>
      <w:r>
        <w:t xml:space="preserve">Landfill Emissions: 0.2575 kg * 0.5 kg CO2e/kg = 0.129 kg CO2e</w:t>
      </w:r>
    </w:p>
    <w:p>
      <w:pPr>
        <w:numPr>
          <w:ilvl w:val="0"/>
          <w:numId w:val="1015"/>
        </w:numPr>
        <w:pStyle w:val="Compact"/>
      </w:pPr>
      <w:r>
        <w:t xml:space="preserve">Recycling Credit: 0.7725 kg * (-1.0 kg CO2e/kg) = -0.773 kg CO2e</w:t>
      </w:r>
    </w:p>
    <w:p>
      <w:pPr>
        <w:pStyle w:val="FirstParagraph"/>
      </w:pPr>
      <w:r>
        <w:rPr>
          <w:bCs/>
          <w:b/>
        </w:rPr>
        <w:t xml:space="preserve">Total End-of-Life Emissions (Scope 3):</w:t>
      </w:r>
      <w:r>
        <w:t xml:space="preserve"> </w:t>
      </w:r>
      <w:r>
        <w:t xml:space="preserve">0.129 - 0.773 = -0.644 kg CO2e (net removal due to recycling credits)</w:t>
      </w:r>
    </w:p>
    <w:bookmarkEnd w:id="36"/>
    <w:bookmarkEnd w:id="37"/>
    <w:bookmarkStart w:id="38" w:name="X3904bedbc10d109738942a255f9b28a1adca462"/>
    <w:p>
      <w:pPr>
        <w:pStyle w:val="Heading3"/>
      </w:pPr>
      <w:r>
        <w:t xml:space="preserve">Summary of Total Product Carbon Footprint</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 &amp; Processing</w:t>
            </w:r>
          </w:p>
        </w:tc>
        <w:tc>
          <w:tcPr/>
          <w:p>
            <w:pPr>
              <w:pStyle w:val="Compact"/>
              <w:jc w:val="left"/>
            </w:pPr>
            <w:r>
              <w:t xml:space="preserve">Scope 3, Category 1</w:t>
            </w:r>
          </w:p>
        </w:tc>
        <w:tc>
          <w:tcPr/>
          <w:p>
            <w:pPr>
              <w:pStyle w:val="Compact"/>
              <w:jc w:val="left"/>
            </w:pPr>
            <w:r>
              <w:t xml:space="preserve">7.55</w:t>
            </w:r>
          </w:p>
        </w:tc>
      </w:tr>
      <w:tr>
        <w:tc>
          <w:tcPr/>
          <w:p>
            <w:pPr>
              <w:pStyle w:val="Compact"/>
              <w:jc w:val="left"/>
            </w:pPr>
            <w:r>
              <w:t xml:space="preserve">Production</w:t>
            </w:r>
          </w:p>
        </w:tc>
        <w:tc>
          <w:tcPr/>
          <w:p>
            <w:pPr>
              <w:pStyle w:val="Compact"/>
              <w:jc w:val="left"/>
            </w:pPr>
            <w:r>
              <w:t xml:space="preserve">Scope 2</w:t>
            </w:r>
          </w:p>
        </w:tc>
        <w:tc>
          <w:tcPr/>
          <w:p>
            <w:pPr>
              <w:pStyle w:val="Compact"/>
              <w:jc w:val="left"/>
            </w:pPr>
            <w:r>
              <w:t xml:space="preserve">0.78</w:t>
            </w:r>
          </w:p>
        </w:tc>
      </w:tr>
      <w:tr>
        <w:tc>
          <w:tcPr/>
          <w:p>
            <w:pPr>
              <w:pStyle w:val="Compact"/>
              <w:jc w:val="left"/>
            </w:pPr>
            <w:r>
              <w:t xml:space="preserve">Transportation (Upstream)</w:t>
            </w:r>
          </w:p>
        </w:tc>
        <w:tc>
          <w:tcPr/>
          <w:p>
            <w:pPr>
              <w:pStyle w:val="Compact"/>
              <w:jc w:val="left"/>
            </w:pPr>
            <w:r>
              <w:t xml:space="preserve">Scope 3, Category 4</w:t>
            </w:r>
          </w:p>
        </w:tc>
        <w:tc>
          <w:tcPr/>
          <w:p>
            <w:pPr>
              <w:pStyle w:val="Compact"/>
              <w:jc w:val="left"/>
            </w:pPr>
            <w:r>
              <w:t xml:space="preserve">0.22</w:t>
            </w:r>
          </w:p>
        </w:tc>
      </w:tr>
      <w:tr>
        <w:tc>
          <w:tcPr/>
          <w:p>
            <w:pPr>
              <w:pStyle w:val="Compact"/>
              <w:jc w:val="left"/>
            </w:pPr>
            <w:r>
              <w:t xml:space="preserve">Transportation (Downstream)</w:t>
            </w:r>
          </w:p>
        </w:tc>
        <w:tc>
          <w:tcPr/>
          <w:p>
            <w:pPr>
              <w:pStyle w:val="Compact"/>
              <w:jc w:val="left"/>
            </w:pPr>
            <w:r>
              <w:t xml:space="preserve">Scope 3, Category 9</w:t>
            </w:r>
          </w:p>
        </w:tc>
        <w:tc>
          <w:tcPr/>
          <w:p>
            <w:pPr>
              <w:pStyle w:val="Compact"/>
              <w:jc w:val="left"/>
            </w:pPr>
            <w:r>
              <w:t xml:space="preserve">0.24</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3.00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-0.64</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11.15</w:t>
            </w:r>
          </w:p>
        </w:tc>
      </w:tr>
    </w:tbl>
    <w:p>
      <w:r>
        <w:pict>
          <v:rect style="width:0;height:1.5pt" o:hralign="center" o:hrstd="t" o:hr="t"/>
        </w:pict>
      </w:r>
    </w:p>
    <w:bookmarkEnd w:id="38"/>
    <w:bookmarkEnd w:id="39"/>
    <w:bookmarkStart w:id="47" w:name="review-report"/>
    <w:p>
      <w:pPr>
        <w:pStyle w:val="Heading2"/>
      </w:pPr>
      <w:r>
        <w:t xml:space="preserve">5. Review &amp; Report</w:t>
      </w:r>
    </w:p>
    <w:bookmarkStart w:id="40" w:name="total-product-carbon-footprint"/>
    <w:p>
      <w:pPr>
        <w:pStyle w:val="Heading3"/>
      </w:pPr>
      <w:r>
        <w:t xml:space="preserve">Total Product Carbon Footprint</w:t>
      </w:r>
    </w:p>
    <w:p>
      <w:pPr>
        <w:pStyle w:val="FirstParagraph"/>
      </w:pPr>
      <w:r>
        <w:t xml:space="preserve">The total Product Carbon Footprint for one functional unit of \'fsnvwkirry\' is determined to be</w:t>
      </w:r>
      <w:r>
        <w:t xml:space="preserve"> </w:t>
      </w:r>
      <w:r>
        <w:rPr>
          <w:bCs/>
          <w:b/>
        </w:rPr>
        <w:t xml:space="preserve">11.15 kg CO2e</w:t>
      </w:r>
      <w:r>
        <w:t xml:space="preserve">.</w:t>
      </w:r>
    </w:p>
    <w:bookmarkEnd w:id="40"/>
    <w:bookmarkStart w:id="41" w:name="emissions-breakdown-by-ghg-scope"/>
    <w:p>
      <w:pPr>
        <w:pStyle w:val="Heading3"/>
      </w:pPr>
      <w:r>
        <w:t xml:space="preserve">Emissions Breakdown by GHG Scope</w:t>
      </w:r>
    </w:p>
    <w:p>
      <w:pPr>
        <w:numPr>
          <w:ilvl w:val="0"/>
          <w:numId w:val="1016"/>
        </w:numPr>
        <w:pStyle w:val="Compact"/>
      </w:pPr>
      <w:r>
        <w:rPr>
          <w:bCs/>
          <w:b/>
        </w:rPr>
        <w:t xml:space="preserve">Scope 1:</w:t>
      </w:r>
      <w:r>
        <w:t xml:space="preserve"> </w:t>
      </w:r>
      <w:r>
        <w:t xml:space="preserve">0 kg CO2e (0%)</w:t>
      </w:r>
    </w:p>
    <w:p>
      <w:pPr>
        <w:numPr>
          <w:ilvl w:val="0"/>
          <w:numId w:val="1016"/>
        </w:numPr>
        <w:pStyle w:val="Compact"/>
      </w:pPr>
      <w:r>
        <w:rPr>
          <w:bCs/>
          <w:b/>
        </w:rPr>
        <w:t xml:space="preserve">Scope 2:</w:t>
      </w:r>
      <w:r>
        <w:t xml:space="preserve"> </w:t>
      </w:r>
      <w:r>
        <w:t xml:space="preserve">0.78 kg CO2e (7.0%)</w:t>
      </w:r>
    </w:p>
    <w:p>
      <w:pPr>
        <w:numPr>
          <w:ilvl w:val="0"/>
          <w:numId w:val="1016"/>
        </w:numPr>
        <w:pStyle w:val="Compact"/>
      </w:pPr>
      <w:r>
        <w:rPr>
          <w:bCs/>
          <w:b/>
        </w:rPr>
        <w:t xml:space="preserve">Scope 3:</w:t>
      </w:r>
      <w:r>
        <w:t xml:space="preserve"> </w:t>
      </w:r>
      <w:r>
        <w:t xml:space="preserve">10.37 kg CO2e (93.0%)</w:t>
      </w:r>
    </w:p>
    <w:bookmarkEnd w:id="41"/>
    <w:bookmarkStart w:id="42" w:name="hotspots-and-reliability"/>
    <w:p>
      <w:pPr>
        <w:pStyle w:val="Heading3"/>
      </w:pPr>
      <w:r>
        <w:t xml:space="preserve">Hotspots and Reliability</w:t>
      </w:r>
    </w:p>
    <w:p>
      <w:pPr>
        <w:pStyle w:val="FirstParagraph"/>
      </w:pPr>
      <w:r>
        <w:t xml:space="preserve">The analysis identifies the following primary emission hotspots:</w:t>
      </w:r>
    </w:p>
    <w:p>
      <w:pPr>
        <w:numPr>
          <w:ilvl w:val="0"/>
          <w:numId w:val="1017"/>
        </w:numPr>
        <w:pStyle w:val="Compact"/>
      </w:pPr>
      <w:r>
        <w:rPr>
          <w:bCs/>
          <w:b/>
        </w:rPr>
        <w:t xml:space="preserve">Material Acquisition &amp; Processing:</w:t>
      </w:r>
      <w:r>
        <w:t xml:space="preserve"> </w:t>
      </w:r>
      <w:r>
        <w:t xml:space="preserve">Accounting for 7.55 kg CO2e (approximately 67.7% of the total PCF), this stage is the most significant contributor. The Li-ion battery and aluminum casing are notable contributors within this stage, reflecting the energy-intensive processes involved in their production.</w:t>
      </w:r>
    </w:p>
    <w:p>
      <w:pPr>
        <w:numPr>
          <w:ilvl w:val="0"/>
          <w:numId w:val="1017"/>
        </w:numPr>
        <w:pStyle w:val="Compact"/>
      </w:pPr>
      <w:r>
        <w:rPr>
          <w:bCs/>
          <w:b/>
        </w:rPr>
        <w:t xml:space="preserve">Use Phase:</w:t>
      </w:r>
      <w:r>
        <w:t xml:space="preserve"> </w:t>
      </w:r>
      <w:r>
        <w:t xml:space="preserve">Contributing 3.0 kg CO2e (approximately 26.9%), the energy consumption during the product\'s lifespan is a substantial factor, even with an assumed European grid mix.</w:t>
      </w:r>
    </w:p>
    <w:p>
      <w:pPr>
        <w:pStyle w:val="FirstParagraph"/>
      </w:pPr>
      <w:r>
        <w:t xml:space="preserve">The reliability of this report is considered moderate to high, based on the application of industry-standard emission factors and the specific parameters provided. The use of placeholder BOM data and assumed emission factors for certain transport modes (e.g., light commercial van) means further refinement with primary, product-specific data would enhance accuracy.</w:t>
      </w:r>
    </w:p>
    <w:bookmarkEnd w:id="42"/>
    <w:bookmarkStart w:id="45" w:name="adherence-to-2026-ghg-protocol-updates"/>
    <w:p>
      <w:pPr>
        <w:pStyle w:val="Heading3"/>
      </w:pPr>
      <w:r>
        <w:t xml:space="preserve">Adherence to 2026 GHG Protocol Updates</w:t>
      </w:r>
    </w:p>
    <w:bookmarkStart w:id="43" w:name="X439aeab12f653c5be8a9767687610423a65f1bc"/>
    <w:p>
      <w:pPr>
        <w:pStyle w:val="Heading4"/>
      </w:pPr>
      <w:r>
        <w:t xml:space="preserve">2026 LSR Update: Land Sector and Removals (LSR) Standard</w:t>
      </w:r>
    </w:p>
    <w:p>
      <w:pPr>
        <w:pStyle w:val="FirstParagraph"/>
      </w:pPr>
      <w:r>
        <w:t xml:space="preserve">The GHG Protocol\'s Land Sector and Removals (LSR) Standard, released on January 30, 2026, and effective January 1, 2027, provides comprehensive guidance for accounting for land emissions and CO₂ removals. While the accompanying guidance is slated for Q2 2026, its principles apply to entities with significant land-based activities or those choosing to report CO2 removals. In this PCF analysis for \'fsnvwkirry\', specific land-use change impacts directly attributable to the individual Bill of Materials components were not explicitly provided. Therefore, any emissions or removals related to land use are considered to be embedded within the generic, industry-average emission factors utilized for material acquisition. Future assessments could incorporate more granular LSR-specific data if available for upstream agricultural or forestry-derived components.</w:t>
      </w:r>
    </w:p>
    <w:bookmarkEnd w:id="43"/>
    <w:bookmarkStart w:id="44" w:name="scope-3-compliance-95-coverage"/>
    <w:p>
      <w:pPr>
        <w:pStyle w:val="Heading4"/>
      </w:pPr>
      <w:r>
        <w:t xml:space="preserve">Scope 3 Compliance (95% Coverage)</w:t>
      </w:r>
    </w:p>
    <w:p>
      <w:pPr>
        <w:pStyle w:val="FirstParagraph"/>
      </w:pPr>
      <w:r>
        <w:t xml:space="preserve">The 2026 GHG Protocol updates emphasize a mandatory 95% completeness threshold for Scope 3 reporting. This analysis has rigorously covered the most material Scope 3 categories for a product-level assessment: Purchased Goods and Services (Category 1), Upstream Transportation and Distribution (Category 4), Downstream Transportation and Distribution (Category 9), Use of Sold Products (Category 11), and End-of-Life Treatment of Sold Products (Category 12). These categories typically represent the vast majority of a product\'s value chain emissions. By including these significant sources, this analysis is designed to meet, and is expected to exceed, the 95% coverage requirement for Scope 3 emissions. The intention is to provide a complete and transparent overview of the product\'s value chain emissions.</w:t>
      </w:r>
    </w:p>
    <w:bookmarkEnd w:id="44"/>
    <w:bookmarkEnd w:id="45"/>
    <w:bookmarkStart w:id="46" w:name="recommendations"/>
    <w:p>
      <w:pPr>
        <w:pStyle w:val="Heading3"/>
      </w:pPr>
      <w:r>
        <w:t xml:space="preserve">Recommendations</w:t>
      </w:r>
    </w:p>
    <w:p>
      <w:pPr>
        <w:numPr>
          <w:ilvl w:val="0"/>
          <w:numId w:val="1018"/>
        </w:numPr>
        <w:pStyle w:val="Compact"/>
      </w:pPr>
      <w:r>
        <w:rPr>
          <w:bCs/>
          <w:b/>
        </w:rPr>
        <w:t xml:space="preserve">Material Optimization:</w:t>
      </w:r>
      <w:r>
        <w:t xml:space="preserve"> </w:t>
      </w:r>
      <w:r>
        <w:t xml:space="preserve">Investigate opportunities to use lower-carbon intensity materials or increase the recycled content of the aluminum casing, plastic housing, and other components.</w:t>
      </w:r>
    </w:p>
    <w:p>
      <w:pPr>
        <w:numPr>
          <w:ilvl w:val="0"/>
          <w:numId w:val="1018"/>
        </w:numPr>
        <w:pStyle w:val="Compact"/>
      </w:pPr>
      <w:r>
        <w:rPr>
          <w:bCs/>
          <w:b/>
        </w:rPr>
        <w:t xml:space="preserve">Energy Efficiency in Use:</w:t>
      </w:r>
      <w:r>
        <w:t xml:space="preserve"> </w:t>
      </w:r>
      <w:r>
        <w:t xml:space="preserve">Explore design improvements to reduce the product\'s energy consumption during its lifespan. Engaging with customers on responsible use and energy-saving practices could also be beneficial.</w:t>
      </w:r>
    </w:p>
    <w:p>
      <w:pPr>
        <w:numPr>
          <w:ilvl w:val="0"/>
          <w:numId w:val="1018"/>
        </w:numPr>
        <w:pStyle w:val="Compact"/>
      </w:pPr>
      <w:r>
        <w:rPr>
          <w:bCs/>
          <w:b/>
        </w:rPr>
        <w:t xml:space="preserve">Supply Chain Engagement:</w:t>
      </w:r>
      <w:r>
        <w:t xml:space="preserve"> </w:t>
      </w:r>
      <w:r>
        <w:t xml:space="preserve">Collaborate with suppliers to understand and reduce their emissions, particularly for high-impact components like batteries and metals. Encourage transparency in primary data reporting.</w:t>
      </w:r>
    </w:p>
    <w:p>
      <w:pPr>
        <w:numPr>
          <w:ilvl w:val="0"/>
          <w:numId w:val="1018"/>
        </w:numPr>
        <w:pStyle w:val="Compact"/>
      </w:pPr>
      <w:r>
        <w:rPr>
          <w:bCs/>
          <w:b/>
        </w:rPr>
        <w:t xml:space="preserve">Circular Economy Initiatives:</w:t>
      </w:r>
      <w:r>
        <w:t xml:space="preserve"> </w:t>
      </w:r>
      <w:r>
        <w:t xml:space="preserve">Continue to strengthen take-back and recycling programs, potentially exploring innovative material recovery and reprocessing technologies to maximize circularity and increase recycling credits.</w:t>
      </w:r>
    </w:p>
    <w:p>
      <w:pPr>
        <w:numPr>
          <w:ilvl w:val="0"/>
          <w:numId w:val="1018"/>
        </w:numPr>
        <w:pStyle w:val="Compact"/>
      </w:pPr>
      <w:r>
        <w:rPr>
          <w:bCs/>
          <w:b/>
        </w:rPr>
        <w:t xml:space="preserve">Data Granularity:</w:t>
      </w:r>
      <w:r>
        <w:t xml:space="preserve"> </w:t>
      </w:r>
      <w:r>
        <w:t xml:space="preserve">For future assessments, seek more specific primary data for material origins, manufacturing processes, and actual transportation routes to further enhance the accuracy and reliability of the PCF.</w:t>
      </w:r>
    </w:p>
    <w:p>
      <w:r>
        <w:pict>
          <v:rect style="width:0;height:1.5pt" o:hralign="center" o:hrstd="t" o:hr="t"/>
        </w:pict>
      </w:r>
    </w:p>
    <w:p>
      <w:pPr>
        <w:pStyle w:val="FirstParagraph"/>
      </w:pPr>
      <w:r>
        <w:t xml:space="preserve">Confidential - Internal Use Only | Page</w:t>
      </w:r>
      <w:r>
        <w:t xml:space="preserve"> </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fsnvwkirry</dc:title>
  <dc:creator/>
  <dc:description>High-detail Product Carbon Footprint (PCF) analysis report for fsnvwkirry, prepared by mvtekzholf (Senior Sustainability Consultant) according to GHG Protocol standards.</dc:description>
  <dc:language>en</dc:language>
  <cp:keywords/>
  <dcterms:created xsi:type="dcterms:W3CDTF">2026-05-30T19:24:35Z</dcterms:created>
  <dcterms:modified xsi:type="dcterms:W3CDTF">2026-05-30T19:24:35Z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