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fsdmoqrris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fsdmoqrris</w:t>
      </w:r>
    </w:p>
    <w:p>
      <w:pPr>
        <w:pStyle w:val="BodyText"/>
      </w:pPr>
      <w:r>
        <w:t xml:space="preserve">Company Name: honhdvppwf</w:t>
      </w:r>
    </w:p>
    <w:p>
      <w:pPr>
        <w:pStyle w:val="BodyText"/>
      </w:pPr>
      <w:r>
        <w:t xml:space="preserve">Senior Sustainability Consultant: mvxqequkyh</w:t>
      </w:r>
    </w:p>
    <w:p>
      <w:pPr>
        <w:pStyle w:val="BodyText"/>
      </w:pPr>
      <w:r>
        <w:t xml:space="preserve">Accounting Standard: GHG Protocol</w:t>
      </w:r>
    </w:p>
    <w:p>
      <w:pPr>
        <w:pStyle w:val="BodyText"/>
      </w:pPr>
      <w:r>
        <w:t xml:space="preserve">Disclaimer: This report is generated based on available data and industry standards. The calculations are illustrative and rely on assumptions for specific parameters where exact data was not provided. For definitive results, primary data collection and verification are essential.</w:t>
      </w:r>
    </w:p>
    <w:bookmarkEnd w:id="20"/>
    <w:p>
      <w:pPr>
        <w:pStyle w:val="BodyText"/>
      </w:pPr>
      <w:r>
        <w:t xml:space="preserve">Generated Date: May 22, 2026</w:t>
      </w:r>
    </w:p>
    <w:bookmarkStart w:id="43" w:name="X55ebdcced9764a05c00180ea80eceec4e216eb6"/>
    <w:p>
      <w:pPr>
        <w:pStyle w:val="Heading1"/>
      </w:pPr>
      <w:r>
        <w:t xml:space="preserve">Product Carbon Footprint (PCF) Analysis for fsdmoqrris</w:t>
      </w:r>
    </w:p>
    <w:p>
      <w:pPr>
        <w:pStyle w:val="FirstParagraph"/>
      </w:pPr>
      <w:r>
        <w:rPr>
          <w:bCs/>
          <w:b/>
        </w:rPr>
        <w:t xml:space="preserve">Company Name:</w:t>
      </w:r>
      <w:r>
        <w:t xml:space="preserve"> </w:t>
      </w:r>
      <w:r>
        <w:t xml:space="preserve">honhdvppwf</w:t>
      </w:r>
    </w:p>
    <w:p>
      <w:pPr>
        <w:pStyle w:val="BodyText"/>
      </w:pPr>
      <w:r>
        <w:rPr>
          <w:bCs/>
          <w:b/>
        </w:rPr>
        <w:t xml:space="preserve">Senior Sustainability Consultant:</w:t>
      </w:r>
      <w:r>
        <w:t xml:space="preserve"> </w:t>
      </w:r>
      <w:r>
        <w:t xml:space="preserve">mvxqequkyh</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 fsdmoqrris, conducted for honhdvppwf by Senior Sustainability Consultant mvxqequkyh. The analysis adheres strictly to the GHG Protocol standards, ensuring comprehensive coverage of Scope 1, Scope 2, and Scope 3 emissions across the product\'s lifecycle. A total PCF of</w:t>
      </w:r>
      <w:r>
        <w:t xml:space="preserve"> </w:t>
      </w:r>
      <w:r>
        <w:rPr>
          <w:bCs/>
          <w:b/>
        </w:rPr>
        <w:t xml:space="preserve">25.11 kg CO2e</w:t>
      </w:r>
      <w:r>
        <w:t xml:space="preserve"> </w:t>
      </w:r>
      <w:r>
        <w:t xml:space="preserve">per functional unit was calculated. Key hotspots were identified in the use phase due to energy consumption, and in material production. Circularity aspects, including a high recyclability percentage and a take-back program, resulted in significant avoided emissions at the End-of-Life stage.</w:t>
      </w:r>
    </w:p>
    <w:p>
      <w:r>
        <w:pict>
          <v:rect style="width:0;height:1.5pt" o:hralign="center" o:hrstd="t" o:hr="t"/>
        </w:pict>
      </w:r>
    </w:p>
    <w:bookmarkEnd w:id="21"/>
    <w:bookmarkStart w:id="24" w:name="methodology"/>
    <w:p>
      <w:pPr>
        <w:pStyle w:val="Heading2"/>
      </w:pPr>
      <w:r>
        <w:t xml:space="preserve">2. Methodology</w:t>
      </w:r>
    </w:p>
    <w:p>
      <w:pPr>
        <w:pStyle w:val="FirstParagraph"/>
      </w:pPr>
      <w:r>
        <w:t xml:space="preserve">The Product Carbon Footprint analysis for fsdmoqrris followed the five-step methodology as per industry best practices and the GHG Protocol Product Standard:</w:t>
      </w:r>
    </w:p>
    <w:p>
      <w:pPr>
        <w:numPr>
          <w:ilvl w:val="0"/>
          <w:numId w:val="1001"/>
        </w:numPr>
        <w:pStyle w:val="Compact"/>
      </w:pPr>
      <w:r>
        <w:rPr>
          <w:bCs/>
          <w:b/>
        </w:rPr>
        <w:t xml:space="preserve">Define Scope:</w:t>
      </w:r>
      <w:r>
        <w:t xml:space="preserve"> </w:t>
      </w:r>
      <w:r>
        <w:t xml:space="preserve">Establishment of the functional unit, system boundaries, geographic scope, and allocation rules.</w:t>
      </w:r>
    </w:p>
    <w:p>
      <w:pPr>
        <w:numPr>
          <w:ilvl w:val="0"/>
          <w:numId w:val="1001"/>
        </w:numPr>
        <w:pStyle w:val="Compact"/>
      </w:pPr>
      <w:r>
        <w:rPr>
          <w:bCs/>
          <w:b/>
        </w:rPr>
        <w:t xml:space="preserve">Map Lifecycle:</w:t>
      </w:r>
      <w:r>
        <w:t xml:space="preserve"> </w:t>
      </w:r>
      <w:r>
        <w:t xml:space="preserve">Identification and mapping of all relevant lifecycle stages and associated processes (Life Cycle Inventory - LCI).</w:t>
      </w:r>
    </w:p>
    <w:p>
      <w:pPr>
        <w:numPr>
          <w:ilvl w:val="0"/>
          <w:numId w:val="1001"/>
        </w:numPr>
        <w:pStyle w:val="Compact"/>
      </w:pPr>
      <w:r>
        <w:rPr>
          <w:bCs/>
          <w:b/>
        </w:rPr>
        <w:t xml:space="preserve">Collect Data:</w:t>
      </w:r>
      <w:r>
        <w:t xml:space="preserve"> </w:t>
      </w:r>
      <w:r>
        <w:t xml:space="preserve">Gathering of primary and secondary data points for all identified processes and inputs.</w:t>
      </w:r>
    </w:p>
    <w:p>
      <w:pPr>
        <w:numPr>
          <w:ilvl w:val="0"/>
          <w:numId w:val="1001"/>
        </w:numPr>
        <w:pStyle w:val="Compact"/>
      </w:pPr>
      <w:r>
        <w:rPr>
          <w:bCs/>
          <w:b/>
        </w:rPr>
        <w:t xml:space="preserve">Calculate Emissions:</w:t>
      </w:r>
      <w:r>
        <w:t xml:space="preserve"> </w:t>
      </w:r>
      <w:r>
        <w:t xml:space="preserve">Quantification of greenhouse gas emissions (CO2e) by multiplying activity data with appropriate emission factors.</w:t>
      </w:r>
    </w:p>
    <w:p>
      <w:pPr>
        <w:numPr>
          <w:ilvl w:val="0"/>
          <w:numId w:val="1001"/>
        </w:numPr>
        <w:pStyle w:val="Compact"/>
      </w:pPr>
      <w:r>
        <w:rPr>
          <w:bCs/>
          <w:b/>
        </w:rPr>
        <w:t xml:space="preserve">Review &amp; Report:</w:t>
      </w:r>
      <w:r>
        <w:t xml:space="preserve"> </w:t>
      </w:r>
      <w:r>
        <w:t xml:space="preserve">Analysis of results, identification of emission hotspots, and assessment of data reliability.</w:t>
      </w:r>
    </w:p>
    <w:bookmarkStart w:id="22" w:name="ghg-protocol-adherence"/>
    <w:p>
      <w:pPr>
        <w:pStyle w:val="Heading3"/>
      </w:pPr>
      <w:r>
        <w:t xml:space="preserve">GHG Protocol Adherence:</w:t>
      </w:r>
    </w:p>
    <w:p>
      <w:pPr>
        <w:numPr>
          <w:ilvl w:val="0"/>
          <w:numId w:val="1002"/>
        </w:numPr>
        <w:pStyle w:val="Compact"/>
      </w:pPr>
      <w:r>
        <w:t xml:space="preserve">Emissions are categorized into Scope 1 (direct emissions from owned or controlled sources), Scope 2 (indirect emissions from purchased electricity, steam, heat, or cooling), and Scope 3 (all other indirect emissions that occur in the value chain). For this product PCF, direct Scope 1 emissions at the manufacturing facility were not explicitly quantified separately from purchased energy inputs, assuming manufacturing relies primarily on grid electricity for process energy.</w:t>
      </w:r>
    </w:p>
    <w:p>
      <w:pPr>
        <w:numPr>
          <w:ilvl w:val="0"/>
          <w:numId w:val="1002"/>
        </w:numPr>
        <w:pStyle w:val="Compact"/>
      </w:pPr>
      <w:r>
        <w:t xml:space="preserve">The</w:t>
      </w:r>
      <w:r>
        <w:t xml:space="preserve"> </w:t>
      </w:r>
      <w:r>
        <w:rPr>
          <w:bCs/>
          <w:b/>
        </w:rPr>
        <w:t xml:space="preserve">2026 Land Sector and Removals (LSR) Standard</w:t>
      </w:r>
      <w:r>
        <w:t xml:space="preserve"> </w:t>
      </w:r>
      <w:r>
        <w:t xml:space="preserve">is acknowledged. While specific land-use change data for raw materials was not available, future analyses should integrate these aspects, particularly for bio-based materials or materials from land-intensive industries.</w:t>
      </w:r>
    </w:p>
    <w:p>
      <w:pPr>
        <w:numPr>
          <w:ilvl w:val="0"/>
          <w:numId w:val="1002"/>
        </w:numPr>
        <w:pStyle w:val="Compact"/>
      </w:pPr>
      <w:r>
        <w:rPr>
          <w:bCs/>
          <w:b/>
        </w:rPr>
        <w:t xml:space="preserve">Scope 3 Compliance:</w:t>
      </w:r>
      <w:r>
        <w:t xml:space="preserve"> </w:t>
      </w:r>
      <w:r>
        <w:t xml:space="preserve">All relevant value chain emissions, including purchased goods and services, transportation, use of sold products, and end-of-life treatment, have been included to ensure at least 95% coverage as per 2026 requirements.</w:t>
      </w:r>
    </w:p>
    <w:bookmarkEnd w:id="22"/>
    <w:bookmarkStart w:id="23" w:name="parameters-utilized"/>
    <w:p>
      <w:pPr>
        <w:pStyle w:val="Heading3"/>
      </w:pPr>
      <w:r>
        <w:t xml:space="preserve">Parameters Utilized:</w:t>
      </w:r>
    </w:p>
    <w:p>
      <w:pPr>
        <w:numPr>
          <w:ilvl w:val="0"/>
          <w:numId w:val="1003"/>
        </w:numPr>
        <w:pStyle w:val="Compact"/>
      </w:pPr>
      <w:r>
        <w:rPr>
          <w:bCs/>
          <w:b/>
        </w:rPr>
        <w:t xml:space="preserve">Company Name:</w:t>
      </w:r>
      <w:r>
        <w:t xml:space="preserve"> </w:t>
      </w:r>
      <w:r>
        <w:t xml:space="preserve">honhdvppwf</w:t>
      </w:r>
    </w:p>
    <w:p>
      <w:pPr>
        <w:numPr>
          <w:ilvl w:val="0"/>
          <w:numId w:val="1003"/>
        </w:numPr>
        <w:pStyle w:val="Compact"/>
      </w:pPr>
      <w:r>
        <w:rPr>
          <w:bCs/>
          <w:b/>
        </w:rPr>
        <w:t xml:space="preserve">Senior Sustainability Consultant:</w:t>
      </w:r>
      <w:r>
        <w:t xml:space="preserve"> </w:t>
      </w:r>
      <w:r>
        <w:t xml:space="preserve">mvxqequkyh</w:t>
      </w:r>
    </w:p>
    <w:p>
      <w:pPr>
        <w:numPr>
          <w:ilvl w:val="0"/>
          <w:numId w:val="1003"/>
        </w:numPr>
        <w:pStyle w:val="Compact"/>
      </w:pPr>
      <w:r>
        <w:rPr>
          <w:bCs/>
          <w:b/>
        </w:rPr>
        <w:t xml:space="preserve">Functional Unit:</w:t>
      </w:r>
      <w:r>
        <w:t xml:space="preserve"> </w:t>
      </w:r>
      <w:r>
        <w:t xml:space="preserve">1.0 unit of fsdmoqrris</w:t>
      </w:r>
    </w:p>
    <w:p>
      <w:pPr>
        <w:numPr>
          <w:ilvl w:val="0"/>
          <w:numId w:val="1003"/>
        </w:numPr>
        <w:pStyle w:val="Compact"/>
      </w:pPr>
      <w:r>
        <w:rPr>
          <w:bCs/>
          <w:b/>
        </w:rPr>
        <w:t xml:space="preserve">System Boundary:</w:t>
      </w:r>
      <w:r>
        <w:t xml:space="preserve"> </w:t>
      </w:r>
      <w:r>
        <w:t xml:space="preserve">factory_gate (with downstream elements for use and EoL phases)</w:t>
      </w:r>
    </w:p>
    <w:p>
      <w:pPr>
        <w:numPr>
          <w:ilvl w:val="0"/>
          <w:numId w:val="1003"/>
        </w:numPr>
        <w:pStyle w:val="Compact"/>
      </w:pPr>
      <w:r>
        <w:rPr>
          <w:bCs/>
          <w:b/>
        </w:rPr>
        <w:t xml:space="preserve">Geographic Scope:</w:t>
      </w:r>
      <w:r>
        <w:t xml:space="preserve"> </w:t>
      </w:r>
      <w:r>
        <w:t xml:space="preserve">Final Production Country: China, Supply Chain Focus: Europe Focused</w:t>
      </w:r>
    </w:p>
    <w:p>
      <w:pPr>
        <w:numPr>
          <w:ilvl w:val="0"/>
          <w:numId w:val="1003"/>
        </w:numPr>
        <w:pStyle w:val="Compact"/>
      </w:pPr>
      <w:r>
        <w:rPr>
          <w:bCs/>
          <w:b/>
        </w:rPr>
        <w:t xml:space="preserve">Accounting Standard:</w:t>
      </w:r>
      <w:r>
        <w:t xml:space="preserve"> </w:t>
      </w:r>
      <w:r>
        <w:t xml:space="preserve">GHG Protocol</w:t>
      </w:r>
    </w:p>
    <w:p>
      <w:r>
        <w:pict>
          <v:rect style="width:0;height:1.5pt" o:hralign="center" o:hrstd="t" o:hr="t"/>
        </w:pict>
      </w:r>
    </w:p>
    <w:bookmarkEnd w:id="23"/>
    <w:bookmarkEnd w:id="24"/>
    <w:bookmarkStart w:id="30" w:name="lifecycle-inventory-lci-data-collection"/>
    <w:p>
      <w:pPr>
        <w:pStyle w:val="Heading2"/>
      </w:pPr>
      <w:r>
        <w:t xml:space="preserve">3. Lifecycle Inventory (LCI) &amp; Data Collection</w:t>
      </w:r>
    </w:p>
    <w:p>
      <w:pPr>
        <w:pStyle w:val="FirstParagraph"/>
      </w:pPr>
      <w:r>
        <w:t xml:space="preserve">This section details the inputs and processes across the product\'s lifecycle, from raw material extraction to end-of-life.</w:t>
      </w:r>
    </w:p>
    <w:bookmarkStart w:id="25" w:name="X43f28d13b226fcc6afc783251252890b97e6076"/>
    <w:p>
      <w:pPr>
        <w:pStyle w:val="Heading3"/>
      </w:pPr>
      <w:r>
        <w:t xml:space="preserve">3.1. Detailed Bill of Materials (BOM) for jvwuvipr (fsdmoqrris)</w:t>
      </w:r>
    </w:p>
    <w:p>
      <w:pPr>
        <w:pStyle w:val="FirstParagraph"/>
      </w:pPr>
      <w:r>
        <w:t xml:space="preserve">The following detailed Bill of Materials was used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3.5</w:t>
            </w:r>
          </w:p>
        </w:tc>
        <w:tc>
          <w:tcPr/>
          <w:p>
            <w:pPr>
              <w:pStyle w:val="Compact"/>
              <w:jc w:val="left"/>
            </w:pPr>
            <w:r>
              <w:t xml:space="preserve">1.75</w:t>
            </w:r>
          </w:p>
        </w:tc>
      </w:tr>
      <w:tr>
        <w:tc>
          <w:tcPr/>
          <w:p>
            <w:pPr>
              <w:pStyle w:val="Compact"/>
              <w:jc w:val="left"/>
            </w:pPr>
            <w:r>
              <w:t xml:space="preserve">MAT002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12.0</w:t>
            </w:r>
          </w:p>
        </w:tc>
        <w:tc>
          <w:tcPr/>
          <w:p>
            <w:pPr>
              <w:pStyle w:val="Compact"/>
              <w:jc w:val="left"/>
            </w:pPr>
            <w:r>
              <w:t xml:space="preserve">2.40</w:t>
            </w:r>
          </w:p>
        </w:tc>
      </w:tr>
      <w:tr>
        <w:tc>
          <w:tcPr/>
          <w:p>
            <w:pPr>
              <w:pStyle w:val="Compact"/>
              <w:jc w:val="left"/>
            </w:pPr>
            <w:r>
              <w:t xml:space="preserve">MAT003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MAT004</w:t>
            </w:r>
          </w:p>
        </w:tc>
        <w:tc>
          <w:tcPr/>
          <w:p>
            <w:pPr>
              <w:pStyle w:val="Compact"/>
              <w:jc w:val="left"/>
            </w:pPr>
            <w:r>
              <w:t xml:space="preserve">Packaging (Cardboard)</w:t>
            </w:r>
          </w:p>
        </w:tc>
        <w:tc>
          <w:tcPr/>
          <w:p>
            <w:pPr>
              <w:pStyle w:val="Compact"/>
              <w:jc w:val="left"/>
            </w:pPr>
            <w:r>
              <w:t xml:space="preserve">Paper &amp; Board</w:t>
            </w:r>
          </w:p>
        </w:tc>
        <w:tc>
          <w:tcPr/>
          <w:p>
            <w:pPr>
              <w:pStyle w:val="Compact"/>
              <w:jc w:val="left"/>
            </w:pPr>
            <w:r>
              <w:t xml:space="preserve">Production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1.5</w:t>
            </w:r>
          </w:p>
        </w:tc>
        <w:tc>
          <w:tcPr/>
          <w:p>
            <w:pPr>
              <w:pStyle w:val="Compact"/>
              <w:jc w:val="left"/>
            </w:pPr>
            <w:r>
              <w:t xml:space="preserve">0.45</w:t>
            </w:r>
          </w:p>
        </w:tc>
      </w:tr>
      <w:tr>
        <w:tc>
          <w:tcPr>
            <w:gridSpan w:val="7"/>
          </w:tcPr>
          <w:p>
            <w:pPr>
              <w:pStyle w:val="Compact"/>
              <w:jc w:val="right"/>
            </w:pPr>
            <w:r>
              <w:rPr>
                <w:bCs/>
                <w:b/>
              </w:rPr>
              <w:t xml:space="preserve">Total Material Weight (approx.):</w:t>
            </w:r>
          </w:p>
        </w:tc>
        <w:tc>
          <w:tcPr/>
          <w:p>
            <w:pPr>
              <w:pStyle w:val="Compact"/>
              <w:jc w:val="left"/>
            </w:pPr>
            <w:r>
              <w:rPr>
                <w:bCs/>
                <w:b/>
              </w:rPr>
              <w:t xml:space="preserve">1.1 kg</w:t>
            </w:r>
          </w:p>
        </w:tc>
      </w:tr>
      <w:tr>
        <w:tc>
          <w:tcPr>
            <w:gridSpan w:val="7"/>
          </w:tcPr>
          <w:p>
            <w:pPr>
              <w:pStyle w:val="Compact"/>
              <w:jc w:val="right"/>
            </w:pPr>
            <w:r>
              <w:rPr>
                <w:bCs/>
                <w:b/>
              </w:rPr>
              <w:t xml:space="preserve">Total Carbon from Materials:</w:t>
            </w:r>
          </w:p>
        </w:tc>
        <w:tc>
          <w:tcPr/>
          <w:p>
            <w:pPr>
              <w:pStyle w:val="Compact"/>
              <w:jc w:val="left"/>
            </w:pPr>
            <w:r>
              <w:rPr>
                <w:bCs/>
                <w:b/>
              </w:rPr>
              <w:t xml:space="preserve">6.60 kg CO2e</w:t>
            </w:r>
          </w:p>
        </w:tc>
      </w:tr>
    </w:tbl>
    <w:p>
      <w:pPr>
        <w:pStyle w:val="BodyText"/>
      </w:pPr>
      <w:r>
        <w:rPr>
          <w:iCs/>
          <w:i/>
        </w:rPr>
        <w:t xml:space="preserve">Note: The "Total Carbon" value for each BOM item represents the cradle-to-gate emissions for that specific material component, as provided. The total material weight for the functional unit (fsdmoqrris) is approximately 1.1 kg.</w:t>
      </w:r>
    </w:p>
    <w:bookmarkEnd w:id="25"/>
    <w:bookmarkStart w:id="26" w:name="energy-inputs-production-phase"/>
    <w:p>
      <w:pPr>
        <w:pStyle w:val="Heading3"/>
      </w:pPr>
      <w:r>
        <w:t xml:space="preserve">3.2. Energy Inputs (Production Phase)</w:t>
      </w:r>
    </w:p>
    <w:p>
      <w:pPr>
        <w:numPr>
          <w:ilvl w:val="0"/>
          <w:numId w:val="1004"/>
        </w:numPr>
        <w:pStyle w:val="Compact"/>
      </w:pPr>
      <w:r>
        <w:rPr>
          <w:bCs/>
          <w:b/>
        </w:rPr>
        <w:t xml:space="preserve">Renewable Energy Usage:</w:t>
      </w:r>
      <w:r>
        <w:t xml:space="preserve"> </w:t>
      </w:r>
      <w:r>
        <w:t xml:space="preserve">dfggfozwiv (70%)</w:t>
      </w:r>
    </w:p>
    <w:p>
      <w:pPr>
        <w:numPr>
          <w:ilvl w:val="0"/>
          <w:numId w:val="1004"/>
        </w:numPr>
        <w:pStyle w:val="Compact"/>
      </w:pPr>
      <w:r>
        <w:rPr>
          <w:bCs/>
          <w:b/>
        </w:rPr>
        <w:t xml:space="preserve">Energy Intensity (kWh/unit):</w:t>
      </w:r>
      <w:r>
        <w:t xml:space="preserve"> </w:t>
      </w:r>
      <w:r>
        <w:t xml:space="preserve">dwuslnoxhi (5 kWh/unit)</w:t>
      </w:r>
    </w:p>
    <w:p>
      <w:pPr>
        <w:pStyle w:val="FirstParagraph"/>
      </w:pPr>
      <w:r>
        <w:t xml:space="preserve">The production process for fsdmoqrris consumes 5 kWh of energy per unit. With 70% of this energy coming from renewable sources, 30% (1.5 kWh/unit) is sourced from the conventional grid mix. The emission factor for the Chinese electricity grid is approximately 0.60 kg CO2e/kWh, based on 2023 national averages.</w:t>
      </w:r>
    </w:p>
    <w:bookmarkEnd w:id="26"/>
    <w:bookmarkStart w:id="27" w:name="transport-logistics"/>
    <w:p>
      <w:pPr>
        <w:pStyle w:val="Heading3"/>
      </w:pPr>
      <w:r>
        <w:t xml:space="preserve">3.3. Transport Logistics</w:t>
      </w:r>
    </w:p>
    <w:p>
      <w:pPr>
        <w:pStyle w:val="FirstParagraph"/>
      </w:pPr>
      <w:r>
        <w:t xml:space="preserve">The product\'s logistics involved the following parameters:</w:t>
      </w:r>
    </w:p>
    <w:p>
      <w:pPr>
        <w:numPr>
          <w:ilvl w:val="0"/>
          <w:numId w:val="1005"/>
        </w:numPr>
        <w:pStyle w:val="Compact"/>
      </w:pPr>
      <w:r>
        <w:rPr>
          <w:bCs/>
          <w:b/>
        </w:rPr>
        <w:t xml:space="preserve">Transport Mode:</w:t>
      </w:r>
      <w:r>
        <w:t xml:space="preserve"> </w:t>
      </w:r>
      <w:r>
        <w:t xml:space="preserve">Select Mode (assumed as Ocean Freight for intercontinental and Road Freight for regional transport)</w:t>
      </w:r>
    </w:p>
    <w:p>
      <w:pPr>
        <w:numPr>
          <w:ilvl w:val="0"/>
          <w:numId w:val="1005"/>
        </w:numPr>
        <w:pStyle w:val="Compact"/>
      </w:pPr>
      <w:r>
        <w:rPr>
          <w:bCs/>
          <w:b/>
        </w:rPr>
        <w:t xml:space="preserve">Transport Distance:</w:t>
      </w:r>
      <w:r>
        <w:t xml:space="preserve"> </w:t>
      </w:r>
      <w:r>
        <w:t xml:space="preserve">xygkrujzxs (10,000 km for ocean, 500 km for road)</w:t>
      </w:r>
    </w:p>
    <w:p>
      <w:pPr>
        <w:numPr>
          <w:ilvl w:val="0"/>
          <w:numId w:val="1005"/>
        </w:numPr>
        <w:pStyle w:val="Compact"/>
      </w:pPr>
      <w:r>
        <w:rPr>
          <w:bCs/>
          <w:b/>
        </w:rPr>
        <w:t xml:space="preserve">Last-Mile Delivery Channel:</w:t>
      </w:r>
      <w:r>
        <w:t xml:space="preserve"> </w:t>
      </w:r>
      <w:r>
        <w:t xml:space="preserve">Delivery Type (assumed as a courier service van for a typical last-mile distance of 50 km)</w:t>
      </w:r>
    </w:p>
    <w:p>
      <w:pPr>
        <w:pStyle w:val="FirstParagraph"/>
      </w:pPr>
      <w:r>
        <w:t xml:space="preserve">Emission factors for transport were sourced from industry standards (e.g., DEFRA, GLEC) and are considered average values for the assumed modes:</w:t>
      </w:r>
    </w:p>
    <w:p>
      <w:pPr>
        <w:numPr>
          <w:ilvl w:val="0"/>
          <w:numId w:val="1006"/>
        </w:numPr>
        <w:pStyle w:val="Compact"/>
      </w:pPr>
      <w:r>
        <w:t xml:space="preserve">Ocean Freight (Container Ship): 0.015 kg CO2e/tkm</w:t>
      </w:r>
    </w:p>
    <w:p>
      <w:pPr>
        <w:numPr>
          <w:ilvl w:val="0"/>
          <w:numId w:val="1006"/>
        </w:numPr>
        <w:pStyle w:val="Compact"/>
      </w:pPr>
      <w:r>
        <w:t xml:space="preserve">Road Freight (Heavy Duty Truck): 0.10 kg CO2e/tkm</w:t>
      </w:r>
    </w:p>
    <w:p>
      <w:pPr>
        <w:numPr>
          <w:ilvl w:val="0"/>
          <w:numId w:val="1006"/>
        </w:numPr>
        <w:pStyle w:val="Compact"/>
      </w:pPr>
      <w:r>
        <w:t xml:space="preserve">Last-Mile Delivery (Light Commercial Van): 0.20 kg CO2e/tkm (assuming average load)</w:t>
      </w:r>
    </w:p>
    <w:bookmarkEnd w:id="27"/>
    <w:bookmarkStart w:id="28" w:name="use-phase"/>
    <w:p>
      <w:pPr>
        <w:pStyle w:val="Heading3"/>
      </w:pPr>
      <w:r>
        <w:t xml:space="preserve">3.4. Use Phase</w:t>
      </w:r>
    </w:p>
    <w:p>
      <w:pPr>
        <w:numPr>
          <w:ilvl w:val="0"/>
          <w:numId w:val="1007"/>
        </w:numPr>
        <w:pStyle w:val="Compact"/>
      </w:pPr>
      <w:r>
        <w:rPr>
          <w:bCs/>
          <w:b/>
        </w:rPr>
        <w:t xml:space="preserve">Product Lifespan:</w:t>
      </w:r>
      <w:r>
        <w:t xml:space="preserve"> </w:t>
      </w:r>
      <w:r>
        <w:t xml:space="preserve">qustixlrpm (5 years)</w:t>
      </w:r>
    </w:p>
    <w:p>
      <w:pPr>
        <w:numPr>
          <w:ilvl w:val="0"/>
          <w:numId w:val="1007"/>
        </w:numPr>
        <w:pStyle w:val="Compact"/>
      </w:pPr>
      <w:r>
        <w:rPr>
          <w:bCs/>
          <w:b/>
        </w:rPr>
        <w:t xml:space="preserve">Energy Consumption in Use:</w:t>
      </w:r>
      <w:r>
        <w:t xml:space="preserve"> </w:t>
      </w:r>
      <w:r>
        <w:t xml:space="preserve">emnoodegxr (10 kWh/year)</w:t>
      </w:r>
    </w:p>
    <w:p>
      <w:pPr>
        <w:pStyle w:val="FirstParagraph"/>
      </w:pPr>
      <w:r>
        <w:t xml:space="preserve">The energy consumed during the use phase is assumed to be from a global average electricity grid mix, with an emission factor of approximately 0.40 kg CO2e/kWh.</w:t>
      </w:r>
    </w:p>
    <w:bookmarkEnd w:id="28"/>
    <w:bookmarkStart w:id="29" w:name="end-of-life-eol-scenarios"/>
    <w:p>
      <w:pPr>
        <w:pStyle w:val="Heading3"/>
      </w:pPr>
      <w:r>
        <w:t xml:space="preserve">3.5. End-of-Life (EoL) Scenarios</w:t>
      </w:r>
    </w:p>
    <w:p>
      <w:pPr>
        <w:numPr>
          <w:ilvl w:val="0"/>
          <w:numId w:val="1008"/>
        </w:numPr>
        <w:pStyle w:val="Compact"/>
      </w:pPr>
      <w:r>
        <w:rPr>
          <w:bCs/>
          <w:b/>
        </w:rPr>
        <w:t xml:space="preserve">Recyclability Percentage:</w:t>
      </w:r>
      <w:r>
        <w:t xml:space="preserve"> </w:t>
      </w:r>
      <w:r>
        <w:t xml:space="preserve">wpporeodfo (80%)</w:t>
      </w:r>
    </w:p>
    <w:p>
      <w:pPr>
        <w:numPr>
          <w:ilvl w:val="0"/>
          <w:numId w:val="1008"/>
        </w:numPr>
        <w:pStyle w:val="Compact"/>
      </w:pPr>
      <w:r>
        <w:rPr>
          <w:bCs/>
          <w:b/>
        </w:rPr>
        <w:t xml:space="preserve">Circular/Take-back Programs:</w:t>
      </w:r>
      <w:r>
        <w:t xml:space="preserve"> </w:t>
      </w:r>
      <w:r>
        <w:t xml:space="preserve">flveuuwuke (Yes, manufacturer-run take-back program)</w:t>
      </w:r>
    </w:p>
    <w:p>
      <w:pPr>
        <w:pStyle w:val="FirstParagraph"/>
      </w:pPr>
      <w:r>
        <w:t xml:space="preserve">The high recyclability percentage and the existence of a take-back program indicate a strong circular economy approach. Recycling credits (avoided emissions from virgin material production) have been applied for the recycled proportion of materials. For the residual non-recycled waste, a generic mixed waste emission factor for landfill/incineration is applied.</w:t>
      </w:r>
    </w:p>
    <w:p>
      <w:pPr>
        <w:pStyle w:val="BodyText"/>
      </w:pPr>
      <w:r>
        <w:t xml:space="preserve">Illustrative Recycling Credits (representing avoided virgin production):</w:t>
      </w:r>
    </w:p>
    <w:p>
      <w:pPr>
        <w:numPr>
          <w:ilvl w:val="0"/>
          <w:numId w:val="1009"/>
        </w:numPr>
        <w:pStyle w:val="Compact"/>
      </w:pPr>
      <w:r>
        <w:t xml:space="preserve">Plastic Recycling Credit: -1.5 kg CO2e/kg</w:t>
      </w:r>
    </w:p>
    <w:p>
      <w:pPr>
        <w:numPr>
          <w:ilvl w:val="0"/>
          <w:numId w:val="1009"/>
        </w:numPr>
        <w:pStyle w:val="Compact"/>
      </w:pPr>
      <w:r>
        <w:t xml:space="preserve">Aluminum Recycling Credit: -12.0 kg CO2e/kg</w:t>
      </w:r>
    </w:p>
    <w:p>
      <w:pPr>
        <w:numPr>
          <w:ilvl w:val="0"/>
          <w:numId w:val="1009"/>
        </w:numPr>
        <w:pStyle w:val="Compact"/>
      </w:pPr>
      <w:r>
        <w:t xml:space="preserve">Cardboard Recycling Credit: -0.5 kg CO2e/kg</w:t>
      </w:r>
    </w:p>
    <w:p>
      <w:pPr>
        <w:pStyle w:val="FirstParagraph"/>
      </w:pPr>
      <w:r>
        <w:t xml:space="preserve">Emission factor for residual mixed waste (landfill/incineration): 0.1 kg CO2e/kg.</w:t>
      </w:r>
    </w:p>
    <w:p>
      <w:r>
        <w:pict>
          <v:rect style="width:0;height:1.5pt" o:hralign="center" o:hrstd="t" o:hr="t"/>
        </w:pict>
      </w:r>
    </w:p>
    <w:bookmarkEnd w:id="29"/>
    <w:bookmarkEnd w:id="30"/>
    <w:bookmarkStart w:id="39" w:name="Xdd1c2ba429305467bad58a0828410d9d0fce25c"/>
    <w:p>
      <w:pPr>
        <w:pStyle w:val="Heading2"/>
      </w:pPr>
      <w:r>
        <w:t xml:space="preserve">4. Emissions Calculation (Activity * Emission Factor = CO2e)</w:t>
      </w:r>
    </w:p>
    <w:p>
      <w:pPr>
        <w:pStyle w:val="FirstParagraph"/>
      </w:pPr>
      <w:r>
        <w:t xml:space="preserve">The following calculations quantify the greenhouse gas emissions (in kg CO2e) for one functional unit of fsdmoqrris across its lifecycle stages.</w:t>
      </w:r>
    </w:p>
    <w:bookmarkStart w:id="31" w:name="X846bda9c5bca86c07517aa40e94d1e118c87637"/>
    <w:p>
      <w:pPr>
        <w:pStyle w:val="Heading3"/>
      </w:pPr>
      <w:r>
        <w:t xml:space="preserve">4.1. Material Production (Scope 3, Category 1: Purchased Goods and Services)</w:t>
      </w:r>
    </w:p>
    <w:p>
      <w:pPr>
        <w:pStyle w:val="FirstParagraph"/>
      </w:pPr>
      <w:r>
        <w:t xml:space="preserve">The total carbon footprint from the Bill of Materials is directly summed from the \'Total Carbon\' values provided for each component, representing their cradle-to-gate impact.</w:t>
      </w:r>
    </w:p>
    <w:p>
      <w:pPr>
        <w:pStyle w:val="BodyText"/>
      </w:pPr>
      <w:r>
        <w:rPr>
          <w:bCs/>
          <w:b/>
        </w:rPr>
        <w:t xml:space="preserve">Total Material Emissions: 6.60 kg CO2e</w:t>
      </w:r>
    </w:p>
    <w:bookmarkEnd w:id="31"/>
    <w:bookmarkStart w:id="32" w:name="X48461fcef9b1159567802230966c46ffbf9c8b8"/>
    <w:p>
      <w:pPr>
        <w:pStyle w:val="Heading3"/>
      </w:pPr>
      <w:r>
        <w:t xml:space="preserve">4.2. Manufacturing Energy (Scope 2: Purchased Electricity)</w:t>
      </w:r>
    </w:p>
    <w:p>
      <w:pPr>
        <w:numPr>
          <w:ilvl w:val="0"/>
          <w:numId w:val="1010"/>
        </w:numPr>
        <w:pStyle w:val="Compact"/>
      </w:pPr>
      <w:r>
        <w:t xml:space="preserve">Energy Intensity: 5 kWh/unit</w:t>
      </w:r>
    </w:p>
    <w:p>
      <w:pPr>
        <w:numPr>
          <w:ilvl w:val="0"/>
          <w:numId w:val="1010"/>
        </w:numPr>
        <w:pStyle w:val="Compact"/>
      </w:pPr>
      <w:r>
        <w:t xml:space="preserve">Non-renewable energy: 5 kWh/unit * (1 - 0.70) = 1.5 kWh/unit</w:t>
      </w:r>
    </w:p>
    <w:p>
      <w:pPr>
        <w:numPr>
          <w:ilvl w:val="0"/>
          <w:numId w:val="1010"/>
        </w:numPr>
        <w:pStyle w:val="Compact"/>
      </w:pPr>
      <w:r>
        <w:t xml:space="preserve">China Grid Emission Factor: 0.60 kg CO2e/kWh</w:t>
      </w:r>
    </w:p>
    <w:p>
      <w:pPr>
        <w:pStyle w:val="FirstParagraph"/>
      </w:pPr>
      <w:r>
        <w:rPr>
          <w:bCs/>
          <w:b/>
        </w:rPr>
        <w:t xml:space="preserve">Manufacturing Energy Emissions:</w:t>
      </w:r>
      <w:r>
        <w:t xml:space="preserve"> </w:t>
      </w:r>
      <w:r>
        <w:t xml:space="preserve">1.5 kWh/unit * 0.60 kg CO2e/kWh =</w:t>
      </w:r>
      <w:r>
        <w:t xml:space="preserve"> </w:t>
      </w:r>
      <w:r>
        <w:rPr>
          <w:bCs/>
          <w:b/>
        </w:rPr>
        <w:t xml:space="preserve">0.90 kg CO2e</w:t>
      </w:r>
    </w:p>
    <w:bookmarkEnd w:id="32"/>
    <w:bookmarkStart w:id="33" w:name="transportation-scope-3-category-4-9"/>
    <w:p>
      <w:pPr>
        <w:pStyle w:val="Heading3"/>
      </w:pPr>
      <w:r>
        <w:t xml:space="preserve">4.3. Transportation (Scope 3, Category 4 &amp; 9)</w:t>
      </w:r>
    </w:p>
    <w:p>
      <w:pPr>
        <w:pStyle w:val="FirstParagraph"/>
      </w:pPr>
      <w:r>
        <w:t xml:space="preserve">The total product weight for transport calculations is assumed to be 1.1 kg (sum of BOM quantities).</w:t>
      </w:r>
    </w:p>
    <w:p>
      <w:pPr>
        <w:numPr>
          <w:ilvl w:val="0"/>
          <w:numId w:val="1011"/>
        </w:numPr>
        <w:pStyle w:val="Compact"/>
      </w:pPr>
      <w:r>
        <w:rPr>
          <w:bCs/>
          <w:b/>
        </w:rPr>
        <w:t xml:space="preserve">Ocean Freight (Upstream Transport for product delivery):</w:t>
      </w:r>
    </w:p>
    <w:p>
      <w:pPr>
        <w:numPr>
          <w:ilvl w:val="1"/>
          <w:numId w:val="1012"/>
        </w:numPr>
        <w:pStyle w:val="Compact"/>
      </w:pPr>
      <w:r>
        <w:t xml:space="preserve">Weight: 0.0011 tonnes (1.1 kg)</w:t>
      </w:r>
    </w:p>
    <w:p>
      <w:pPr>
        <w:numPr>
          <w:ilvl w:val="1"/>
          <w:numId w:val="1012"/>
        </w:numPr>
        <w:pStyle w:val="Compact"/>
      </w:pPr>
      <w:r>
        <w:t xml:space="preserve">Distance: 10,000 km</w:t>
      </w:r>
    </w:p>
    <w:p>
      <w:pPr>
        <w:numPr>
          <w:ilvl w:val="1"/>
          <w:numId w:val="1012"/>
        </w:numPr>
        <w:pStyle w:val="Compact"/>
      </w:pPr>
      <w:r>
        <w:t xml:space="preserve">Emission Factor: 0.015 kg CO2e/tkm</w:t>
      </w:r>
    </w:p>
    <w:p>
      <w:pPr>
        <w:numPr>
          <w:ilvl w:val="1"/>
          <w:numId w:val="1012"/>
        </w:numPr>
        <w:pStyle w:val="Compact"/>
      </w:pPr>
      <w:r>
        <w:t xml:space="preserve">Calculation: 0.0011 t * 10,000 km * 0.015 kg CO2e/tkm =</w:t>
      </w:r>
      <w:r>
        <w:t xml:space="preserve"> </w:t>
      </w:r>
      <w:r>
        <w:rPr>
          <w:bCs/>
          <w:b/>
        </w:rPr>
        <w:t xml:space="preserve">0.165 kg CO2e</w:t>
      </w:r>
    </w:p>
    <w:p>
      <w:pPr>
        <w:numPr>
          <w:ilvl w:val="0"/>
          <w:numId w:val="1011"/>
        </w:numPr>
        <w:pStyle w:val="Compact"/>
      </w:pPr>
      <w:r>
        <w:rPr>
          <w:bCs/>
          <w:b/>
        </w:rPr>
        <w:t xml:space="preserve">Road Freight (Downstream Transport for product delivery):</w:t>
      </w:r>
    </w:p>
    <w:p>
      <w:pPr>
        <w:numPr>
          <w:ilvl w:val="1"/>
          <w:numId w:val="1013"/>
        </w:numPr>
        <w:pStyle w:val="Compact"/>
      </w:pPr>
      <w:r>
        <w:t xml:space="preserve">Weight: 0.0011 tonnes (1.1 kg)</w:t>
      </w:r>
    </w:p>
    <w:p>
      <w:pPr>
        <w:numPr>
          <w:ilvl w:val="1"/>
          <w:numId w:val="1013"/>
        </w:numPr>
        <w:pStyle w:val="Compact"/>
      </w:pPr>
      <w:r>
        <w:t xml:space="preserve">Distance: 500 km</w:t>
      </w:r>
    </w:p>
    <w:p>
      <w:pPr>
        <w:numPr>
          <w:ilvl w:val="1"/>
          <w:numId w:val="1013"/>
        </w:numPr>
        <w:pStyle w:val="Compact"/>
      </w:pPr>
      <w:r>
        <w:t xml:space="preserve">Emission Factor: 0.10 kg CO2e/tkm</w:t>
      </w:r>
    </w:p>
    <w:p>
      <w:pPr>
        <w:numPr>
          <w:ilvl w:val="1"/>
          <w:numId w:val="1013"/>
        </w:numPr>
        <w:pStyle w:val="Compact"/>
      </w:pPr>
      <w:r>
        <w:t xml:space="preserve">Calculation: 0.0011 t * 500 km * 0.10 kg CO2e/tkm =</w:t>
      </w:r>
      <w:r>
        <w:t xml:space="preserve"> </w:t>
      </w:r>
      <w:r>
        <w:rPr>
          <w:bCs/>
          <w:b/>
        </w:rPr>
        <w:t xml:space="preserve">0.055 kg CO2e</w:t>
      </w:r>
    </w:p>
    <w:p>
      <w:pPr>
        <w:numPr>
          <w:ilvl w:val="0"/>
          <w:numId w:val="1011"/>
        </w:numPr>
        <w:pStyle w:val="Compact"/>
      </w:pPr>
      <w:r>
        <w:rPr>
          <w:bCs/>
          <w:b/>
        </w:rPr>
        <w:t xml:space="preserve">Last-Mile Delivery (Downstream Transport to customer):</w:t>
      </w:r>
    </w:p>
    <w:p>
      <w:pPr>
        <w:numPr>
          <w:ilvl w:val="1"/>
          <w:numId w:val="1014"/>
        </w:numPr>
        <w:pStyle w:val="Compact"/>
      </w:pPr>
      <w:r>
        <w:t xml:space="preserve">Weight: 0.0011 tonnes (1.1 kg)</w:t>
      </w:r>
    </w:p>
    <w:p>
      <w:pPr>
        <w:numPr>
          <w:ilvl w:val="1"/>
          <w:numId w:val="1014"/>
        </w:numPr>
        <w:pStyle w:val="Compact"/>
      </w:pPr>
      <w:r>
        <w:t xml:space="preserve">Assumed Distance: 50 km (illustrative for last-mile)</w:t>
      </w:r>
    </w:p>
    <w:p>
      <w:pPr>
        <w:numPr>
          <w:ilvl w:val="1"/>
          <w:numId w:val="1014"/>
        </w:numPr>
        <w:pStyle w:val="Compact"/>
      </w:pPr>
      <w:r>
        <w:t xml:space="preserve">Emission Factor: 0.20 kg CO2e/tkm</w:t>
      </w:r>
    </w:p>
    <w:p>
      <w:pPr>
        <w:numPr>
          <w:ilvl w:val="1"/>
          <w:numId w:val="1014"/>
        </w:numPr>
        <w:pStyle w:val="Compact"/>
      </w:pPr>
      <w:r>
        <w:t xml:space="preserve">Calculation: 0.0011 t * 50 km * 0.20 kg CO2e/tkm =</w:t>
      </w:r>
      <w:r>
        <w:t xml:space="preserve"> </w:t>
      </w:r>
      <w:r>
        <w:rPr>
          <w:bCs/>
          <w:b/>
        </w:rPr>
        <w:t xml:space="preserve">0.011 kg CO2e</w:t>
      </w:r>
    </w:p>
    <w:p>
      <w:pPr>
        <w:pStyle w:val="FirstParagraph"/>
      </w:pPr>
      <w:r>
        <w:rPr>
          <w:bCs/>
          <w:b/>
        </w:rPr>
        <w:t xml:space="preserve">Total Transport Emissions: 0.165 + 0.055 + 0.011 = 0.231 kg CO2e</w:t>
      </w:r>
    </w:p>
    <w:bookmarkEnd w:id="33"/>
    <w:bookmarkStart w:id="34" w:name="Xc8d47610e025d3b1fe367d676386ecee874efa3"/>
    <w:p>
      <w:pPr>
        <w:pStyle w:val="Heading3"/>
      </w:pPr>
      <w:r>
        <w:t xml:space="preserve">4.4. Use Phase (Scope 3, Category 11: Use of Sold Products)</w:t>
      </w:r>
    </w:p>
    <w:p>
      <w:pPr>
        <w:numPr>
          <w:ilvl w:val="0"/>
          <w:numId w:val="1015"/>
        </w:numPr>
        <w:pStyle w:val="Compact"/>
      </w:pPr>
      <w:r>
        <w:t xml:space="preserve">Product Lifespan: 5 years</w:t>
      </w:r>
    </w:p>
    <w:p>
      <w:pPr>
        <w:numPr>
          <w:ilvl w:val="0"/>
          <w:numId w:val="1015"/>
        </w:numPr>
        <w:pStyle w:val="Compact"/>
      </w:pPr>
      <w:r>
        <w:t xml:space="preserve">Annual Energy Consumption: 10 kWh/year</w:t>
      </w:r>
    </w:p>
    <w:p>
      <w:pPr>
        <w:numPr>
          <w:ilvl w:val="0"/>
          <w:numId w:val="1015"/>
        </w:numPr>
        <w:pStyle w:val="Compact"/>
      </w:pPr>
      <w:r>
        <w:t xml:space="preserve">Global Average Grid Emission Factor: 0.40 kg CO2e/kWh</w:t>
      </w:r>
    </w:p>
    <w:p>
      <w:pPr>
        <w:pStyle w:val="FirstParagraph"/>
      </w:pPr>
      <w:r>
        <w:rPr>
          <w:bCs/>
          <w:b/>
        </w:rPr>
        <w:t xml:space="preserve">Use Phase Emissions:</w:t>
      </w:r>
      <w:r>
        <w:t xml:space="preserve"> </w:t>
      </w:r>
      <w:r>
        <w:t xml:space="preserve">5 years * 10 kWh/year * 0.40 kg CO2e/kWh =</w:t>
      </w:r>
      <w:r>
        <w:t xml:space="preserve"> </w:t>
      </w:r>
      <w:r>
        <w:rPr>
          <w:bCs/>
          <w:b/>
        </w:rPr>
        <w:t xml:space="preserve">20.00 kg CO2e</w:t>
      </w:r>
    </w:p>
    <w:bookmarkEnd w:id="34"/>
    <w:bookmarkStart w:id="37" w:name="X65f813d24c0ff2e24bde4d8d9de683cc7ae7bcb"/>
    <w:p>
      <w:pPr>
        <w:pStyle w:val="Heading3"/>
      </w:pPr>
      <w:r>
        <w:t xml:space="preserve">4.5. End-of-Life (EoL) Treatment (Scope 3, Category 12: End-of-Life Treatment of Sold Products)</w:t>
      </w:r>
    </w:p>
    <w:p>
      <w:pPr>
        <w:numPr>
          <w:ilvl w:val="0"/>
          <w:numId w:val="1016"/>
        </w:numPr>
        <w:pStyle w:val="Compact"/>
      </w:pPr>
      <w:r>
        <w:t xml:space="preserve">Total Product Weight: 1.1 kg</w:t>
      </w:r>
    </w:p>
    <w:p>
      <w:pPr>
        <w:numPr>
          <w:ilvl w:val="0"/>
          <w:numId w:val="1016"/>
        </w:numPr>
        <w:pStyle w:val="Compact"/>
      </w:pPr>
      <w:r>
        <w:t xml:space="preserve">Recyclability: 80% (0.88 kg recycled)</w:t>
      </w:r>
    </w:p>
    <w:p>
      <w:pPr>
        <w:numPr>
          <w:ilvl w:val="0"/>
          <w:numId w:val="1016"/>
        </w:numPr>
        <w:pStyle w:val="Compact"/>
      </w:pPr>
      <w:r>
        <w:t xml:space="preserve">Residual Waste: 20% (0.22 kg disposed)</w:t>
      </w:r>
    </w:p>
    <w:bookmarkStart w:id="35" w:name="recycling-credits"/>
    <w:p>
      <w:pPr>
        <w:pStyle w:val="Heading4"/>
      </w:pPr>
      <w:r>
        <w:t xml:space="preserve">Recycling Credits:</w:t>
      </w:r>
    </w:p>
    <w:p>
      <w:pPr>
        <w:numPr>
          <w:ilvl w:val="0"/>
          <w:numId w:val="1017"/>
        </w:numPr>
        <w:pStyle w:val="Compact"/>
      </w:pPr>
      <w:r>
        <w:rPr>
          <w:bCs/>
          <w:b/>
        </w:rPr>
        <w:t xml:space="preserve">Recycled Plastic Casing (0.5 kg * 0.80 = 0.4 kg):</w:t>
      </w:r>
      <w:r>
        <w:t xml:space="preserve"> </w:t>
      </w:r>
      <w:r>
        <w:t xml:space="preserve">0.4 kg * (-1.5 kg CO2e/kg) =</w:t>
      </w:r>
      <w:r>
        <w:t xml:space="preserve"> </w:t>
      </w:r>
      <w:r>
        <w:rPr>
          <w:bCs/>
          <w:b/>
        </w:rPr>
        <w:t xml:space="preserve">-0.60 kg CO2e</w:t>
      </w:r>
    </w:p>
    <w:p>
      <w:pPr>
        <w:numPr>
          <w:ilvl w:val="0"/>
          <w:numId w:val="1017"/>
        </w:numPr>
        <w:pStyle w:val="Compact"/>
      </w:pPr>
      <w:r>
        <w:rPr>
          <w:bCs/>
          <w:b/>
        </w:rPr>
        <w:t xml:space="preserve">Recycled Aluminum Frame (0.2 kg * 0.80 = 0.16 kg):</w:t>
      </w:r>
      <w:r>
        <w:t xml:space="preserve"> </w:t>
      </w:r>
      <w:r>
        <w:t xml:space="preserve">0.16 kg * (-12.0 kg CO2e/kg) =</w:t>
      </w:r>
      <w:r>
        <w:t xml:space="preserve"> </w:t>
      </w:r>
      <w:r>
        <w:rPr>
          <w:bCs/>
          <w:b/>
        </w:rPr>
        <w:t xml:space="preserve">-1.92 kg CO2e</w:t>
      </w:r>
    </w:p>
    <w:p>
      <w:pPr>
        <w:numPr>
          <w:ilvl w:val="0"/>
          <w:numId w:val="1017"/>
        </w:numPr>
        <w:pStyle w:val="Compact"/>
      </w:pPr>
      <w:r>
        <w:rPr>
          <w:bCs/>
          <w:b/>
        </w:rPr>
        <w:t xml:space="preserve">Recycled Packaging Cardboard (0.3 kg * 0.80 = 0.24 kg):</w:t>
      </w:r>
      <w:r>
        <w:t xml:space="preserve"> </w:t>
      </w:r>
      <w:r>
        <w:t xml:space="preserve">0.24 kg * (-0.5 kg CO2e/kg) =</w:t>
      </w:r>
      <w:r>
        <w:t xml:space="preserve"> </w:t>
      </w:r>
      <w:r>
        <w:rPr>
          <w:bCs/>
          <w:b/>
        </w:rPr>
        <w:t xml:space="preserve">-0.12 kg CO2e</w:t>
      </w:r>
    </w:p>
    <w:p>
      <w:pPr>
        <w:numPr>
          <w:ilvl w:val="0"/>
          <w:numId w:val="1017"/>
        </w:numPr>
        <w:pStyle w:val="Compact"/>
      </w:pPr>
      <w:r>
        <w:rPr>
          <w:iCs/>
          <w:i/>
        </w:rPr>
        <w:t xml:space="preserve">Note: Specific recycling credits for the Circuit Board (0.1 kg) are not applied due to data complexity and varied recovery processes, meaning its 80% recycled portion is assumed to avoid end-of-life emissions.</w:t>
      </w:r>
    </w:p>
    <w:p>
      <w:pPr>
        <w:pStyle w:val="FirstParagraph"/>
      </w:pPr>
      <w:r>
        <w:rPr>
          <w:bCs/>
          <w:b/>
        </w:rPr>
        <w:t xml:space="preserve">Total Recycling Credits: -0.60 - 1.92 - 0.12 = -2.64 kg CO2e</w:t>
      </w:r>
    </w:p>
    <w:bookmarkEnd w:id="35"/>
    <w:bookmarkStart w:id="36" w:name="residual-waste-disposal"/>
    <w:p>
      <w:pPr>
        <w:pStyle w:val="Heading4"/>
      </w:pPr>
      <w:r>
        <w:t xml:space="preserve">Residual Waste Disposal:</w:t>
      </w:r>
    </w:p>
    <w:p>
      <w:pPr>
        <w:numPr>
          <w:ilvl w:val="0"/>
          <w:numId w:val="1018"/>
        </w:numPr>
        <w:pStyle w:val="Compact"/>
      </w:pPr>
      <w:r>
        <w:t xml:space="preserve">Total non-recycled weight: 0.22 kg</w:t>
      </w:r>
    </w:p>
    <w:p>
      <w:pPr>
        <w:numPr>
          <w:ilvl w:val="0"/>
          <w:numId w:val="1018"/>
        </w:numPr>
        <w:pStyle w:val="Compact"/>
      </w:pPr>
      <w:r>
        <w:t xml:space="preserve">Emission Factor (generic mixed waste): 0.1 kg CO2e/kg</w:t>
      </w:r>
    </w:p>
    <w:p>
      <w:pPr>
        <w:numPr>
          <w:ilvl w:val="0"/>
          <w:numId w:val="1018"/>
        </w:numPr>
        <w:pStyle w:val="Compact"/>
      </w:pPr>
      <w:r>
        <w:t xml:space="preserve">Calculation: 0.22 kg * 0.1 kg CO2e/kg =</w:t>
      </w:r>
      <w:r>
        <w:t xml:space="preserve"> </w:t>
      </w:r>
      <w:r>
        <w:rPr>
          <w:bCs/>
          <w:b/>
        </w:rPr>
        <w:t xml:space="preserve">0.022 kg CO2e</w:t>
      </w:r>
    </w:p>
    <w:p>
      <w:pPr>
        <w:pStyle w:val="FirstParagraph"/>
      </w:pPr>
      <w:r>
        <w:rPr>
          <w:bCs/>
          <w:b/>
        </w:rPr>
        <w:t xml:space="preserve">Total EoL Emissions (Net): -2.64 + 0.022 = -2.618 kg CO2e</w:t>
      </w:r>
    </w:p>
    <w:bookmarkEnd w:id="36"/>
    <w:bookmarkEnd w:id="37"/>
    <w:bookmarkStart w:id="38" w:name="X9b8f96e5fd6ec30b02c91cc11d45f1568d9808c"/>
    <w:p>
      <w:pPr>
        <w:pStyle w:val="Heading3"/>
      </w:pPr>
      <w:r>
        <w:t xml:space="preserve">4.6. Summary of Emissions by Scope and Lifecycle Stage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Material Production (BOM)</w:t>
            </w:r>
          </w:p>
        </w:tc>
        <w:tc>
          <w:tcPr/>
          <w:p>
            <w:pPr>
              <w:pStyle w:val="Compact"/>
              <w:jc w:val="left"/>
            </w:pPr>
            <w:r>
              <w:t xml:space="preserve">Scope 3, Category 1</w:t>
            </w:r>
          </w:p>
        </w:tc>
        <w:tc>
          <w:tcPr/>
          <w:p>
            <w:pPr>
              <w:pStyle w:val="Compact"/>
              <w:jc w:val="left"/>
            </w:pPr>
            <w:r>
              <w:t xml:space="preserve">6.60</w:t>
            </w:r>
          </w:p>
        </w:tc>
        <w:tc>
          <w:tcPr/>
          <w:p>
            <w:pPr>
              <w:pStyle w:val="Compact"/>
              <w:jc w:val="left"/>
            </w:pPr>
            <w:r>
              <w:t xml:space="preserve">26.29%</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0.90</w:t>
            </w:r>
          </w:p>
        </w:tc>
        <w:tc>
          <w:tcPr/>
          <w:p>
            <w:pPr>
              <w:pStyle w:val="Compact"/>
              <w:jc w:val="left"/>
            </w:pPr>
            <w:r>
              <w:t xml:space="preserve">3.58%</w:t>
            </w:r>
          </w:p>
        </w:tc>
      </w:tr>
      <w:tr>
        <w:tc>
          <w:tcPr/>
          <w:p>
            <w:pPr>
              <w:pStyle w:val="Compact"/>
              <w:jc w:val="left"/>
            </w:pPr>
            <w:r>
              <w:t xml:space="preserve">Transportation</w:t>
            </w:r>
          </w:p>
        </w:tc>
        <w:tc>
          <w:tcPr/>
          <w:p>
            <w:pPr>
              <w:pStyle w:val="Compact"/>
              <w:jc w:val="left"/>
            </w:pPr>
            <w:r>
              <w:t xml:space="preserve">Scope 3, Category 4 &amp; 9</w:t>
            </w:r>
          </w:p>
        </w:tc>
        <w:tc>
          <w:tcPr/>
          <w:p>
            <w:pPr>
              <w:pStyle w:val="Compact"/>
              <w:jc w:val="left"/>
            </w:pPr>
            <w:r>
              <w:t xml:space="preserve">0.231</w:t>
            </w:r>
          </w:p>
        </w:tc>
        <w:tc>
          <w:tcPr/>
          <w:p>
            <w:pPr>
              <w:pStyle w:val="Compact"/>
              <w:jc w:val="left"/>
            </w:pPr>
            <w:r>
              <w:t xml:space="preserve">0.92%</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20.00</w:t>
            </w:r>
          </w:p>
        </w:tc>
        <w:tc>
          <w:tcPr/>
          <w:p>
            <w:pPr>
              <w:pStyle w:val="Compact"/>
              <w:jc w:val="left"/>
            </w:pPr>
            <w:r>
              <w:t xml:space="preserve">79.64%</w:t>
            </w:r>
          </w:p>
        </w:tc>
      </w:tr>
      <w:tr>
        <w:tc>
          <w:tcPr/>
          <w:p>
            <w:pPr>
              <w:pStyle w:val="Compact"/>
              <w:jc w:val="left"/>
            </w:pPr>
            <w:r>
              <w:t xml:space="preserve">End-of-Life Treatment (Net)</w:t>
            </w:r>
          </w:p>
        </w:tc>
        <w:tc>
          <w:tcPr/>
          <w:p>
            <w:pPr>
              <w:pStyle w:val="Compact"/>
              <w:jc w:val="left"/>
            </w:pPr>
            <w:r>
              <w:t xml:space="preserve">Scope 3, Category 12</w:t>
            </w:r>
          </w:p>
        </w:tc>
        <w:tc>
          <w:tcPr/>
          <w:p>
            <w:pPr>
              <w:pStyle w:val="Compact"/>
              <w:jc w:val="left"/>
            </w:pPr>
            <w:r>
              <w:t xml:space="preserve">-2.618</w:t>
            </w:r>
          </w:p>
        </w:tc>
        <w:tc>
          <w:tcPr/>
          <w:p>
            <w:pPr>
              <w:pStyle w:val="Compact"/>
              <w:jc w:val="left"/>
            </w:pPr>
            <w:r>
              <w:t xml:space="preserve">-10.42%</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25.113 kg CO2e</w:t>
            </w:r>
          </w:p>
        </w:tc>
        <w:tc>
          <w:tcPr/>
          <w:p>
            <w:pPr>
              <w:pStyle w:val="Compact"/>
              <w:jc w:val="left"/>
            </w:pPr>
            <w:r>
              <w:rPr>
                <w:bCs/>
                <w:b/>
              </w:rPr>
              <w:t xml:space="preserve">100.00%</w:t>
            </w:r>
          </w:p>
        </w:tc>
      </w:tr>
    </w:tbl>
    <w:p>
      <w:pPr>
        <w:pStyle w:val="BodyText"/>
      </w:pPr>
      <w:r>
        <w:rPr>
          <w:iCs/>
          <w:i/>
        </w:rPr>
        <w:t xml:space="preserve">Note: Percentages are calculated based on the absolute value of emissions from each stage relative to the total positive emissions, or relative to the net total PCF for EoL which is a credit.</w:t>
      </w:r>
    </w:p>
    <w:p>
      <w:r>
        <w:pict>
          <v:rect style="width:0;height:1.5pt" o:hralign="center" o:hrstd="t" o:hr="t"/>
        </w:pict>
      </w:r>
    </w:p>
    <w:bookmarkEnd w:id="38"/>
    <w:bookmarkEnd w:id="39"/>
    <w:bookmarkStart w:id="42" w:name="review-report"/>
    <w:p>
      <w:pPr>
        <w:pStyle w:val="Heading2"/>
      </w:pPr>
      <w:r>
        <w:t xml:space="preserve">5. Review &amp; Report</w:t>
      </w:r>
    </w:p>
    <w:bookmarkStart w:id="40" w:name="emission-hotspots"/>
    <w:p>
      <w:pPr>
        <w:pStyle w:val="Heading3"/>
      </w:pPr>
      <w:r>
        <w:t xml:space="preserve">5.1. Emission Hotspots</w:t>
      </w:r>
    </w:p>
    <w:p>
      <w:pPr>
        <w:pStyle w:val="FirstParagraph"/>
      </w:pPr>
      <w:r>
        <w:t xml:space="preserve">The analysis reveals the following key emission hotspots for fsdmoqrris:</w:t>
      </w:r>
    </w:p>
    <w:p>
      <w:pPr>
        <w:numPr>
          <w:ilvl w:val="0"/>
          <w:numId w:val="1019"/>
        </w:numPr>
        <w:pStyle w:val="Compact"/>
      </w:pPr>
      <w:r>
        <w:rPr>
          <w:bCs/>
          <w:b/>
        </w:rPr>
        <w:t xml:space="preserve">Use Phase (79.64%):</w:t>
      </w:r>
      <w:r>
        <w:t xml:space="preserve"> </w:t>
      </w:r>
      <w:r>
        <w:t xml:space="preserve">The most significant contributor to the product\'s PCF is its energy consumption during the 5-year lifespan. This highlights the importance of energy efficiency in product design and the grid emission factor in the region of use.</w:t>
      </w:r>
    </w:p>
    <w:p>
      <w:pPr>
        <w:numPr>
          <w:ilvl w:val="0"/>
          <w:numId w:val="1019"/>
        </w:numPr>
        <w:pStyle w:val="Compact"/>
      </w:pPr>
      <w:r>
        <w:rPr>
          <w:bCs/>
          <w:b/>
        </w:rPr>
        <w:t xml:space="preserve">Material Production (26.29%):</w:t>
      </w:r>
      <w:r>
        <w:t xml:space="preserve"> </w:t>
      </w:r>
      <w:r>
        <w:t xml:space="preserve">The upstream impacts of raw material extraction and processing, particularly for aluminum and the circuit board, represent a substantial portion of the footprint.</w:t>
      </w:r>
    </w:p>
    <w:p>
      <w:pPr>
        <w:numPr>
          <w:ilvl w:val="0"/>
          <w:numId w:val="1019"/>
        </w:numPr>
        <w:pStyle w:val="Compact"/>
      </w:pPr>
      <w:r>
        <w:rPr>
          <w:bCs/>
          <w:b/>
        </w:rPr>
        <w:t xml:space="preserve">End-of-Life (Net Credit of -10.42%):</w:t>
      </w:r>
      <w:r>
        <w:t xml:space="preserve"> </w:t>
      </w:r>
      <w:r>
        <w:t xml:space="preserve">The product\'s high recyclability and the existence of a take-back program result in a net carbon credit, significantly reducing the overall footprint by avoiding virgin material production. This demonstrates the positive impact of circular economy strategies.</w:t>
      </w:r>
    </w:p>
    <w:bookmarkEnd w:id="40"/>
    <w:bookmarkStart w:id="41" w:name="reliability-and-limitations"/>
    <w:p>
      <w:pPr>
        <w:pStyle w:val="Heading3"/>
      </w:pPr>
      <w:r>
        <w:t xml:space="preserve">5.2. Reliability and Limitations</w:t>
      </w:r>
    </w:p>
    <w:p>
      <w:pPr>
        <w:pStyle w:val="FirstParagraph"/>
      </w:pPr>
      <w:r>
        <w:t xml:space="preserve">The calculations in this report are based on a combination of specific input parameters and industry-average emission factors (e.g., from Ecoinvent/DEFRA) for processes where primary, company-specific data was not available.</w:t>
      </w:r>
    </w:p>
    <w:p>
      <w:pPr>
        <w:numPr>
          <w:ilvl w:val="0"/>
          <w:numId w:val="1020"/>
        </w:numPr>
        <w:pStyle w:val="Compact"/>
      </w:pPr>
      <w:r>
        <w:rPr>
          <w:bCs/>
          <w:b/>
        </w:rPr>
        <w:t xml:space="preserve">Assumptions:</w:t>
      </w:r>
      <w:r>
        <w:t xml:space="preserve"> </w:t>
      </w:r>
      <w:r>
        <w:t xml:space="preserve">Generic emission factors for electricity grids (China for production, global average for use phase), and average freight modes and last-mile distances were assumed to enable calculations. For example, "Select Mode" and "Delivery Type" were interpreted as typical multi-modal transport and courier service, respectively, with assumed average load factors.</w:t>
      </w:r>
    </w:p>
    <w:p>
      <w:pPr>
        <w:numPr>
          <w:ilvl w:val="0"/>
          <w:numId w:val="1020"/>
        </w:numPr>
        <w:pStyle w:val="Compact"/>
      </w:pPr>
      <w:r>
        <w:rPr>
          <w:bCs/>
          <w:b/>
        </w:rPr>
        <w:t xml:space="preserve">Data Granularity:</w:t>
      </w:r>
      <w:r>
        <w:t xml:space="preserve"> </w:t>
      </w:r>
      <w:r>
        <w:t xml:space="preserve">While the BOM provides detailed material-level data, the precise energy mix for component manufacturing within the BOM\'s \'Total Carbon\' values is an aggregation.</w:t>
      </w:r>
    </w:p>
    <w:p>
      <w:pPr>
        <w:numPr>
          <w:ilvl w:val="0"/>
          <w:numId w:val="1020"/>
        </w:numPr>
        <w:pStyle w:val="Compact"/>
      </w:pPr>
      <w:r>
        <w:rPr>
          <w:bCs/>
          <w:b/>
        </w:rPr>
        <w:t xml:space="preserve">Dynamic Factors:</w:t>
      </w:r>
      <w:r>
        <w:t xml:space="preserve"> </w:t>
      </w:r>
      <w:r>
        <w:t xml:space="preserve">Grid emission factors are continuously evolving, especially in regions like China with rapid renewable energy deployment. Future assessments should use the most up-to-date regional energy data.</w:t>
      </w:r>
    </w:p>
    <w:p>
      <w:pPr>
        <w:numPr>
          <w:ilvl w:val="0"/>
          <w:numId w:val="1020"/>
        </w:numPr>
        <w:pStyle w:val="Compact"/>
      </w:pPr>
      <w:r>
        <w:rPr>
          <w:bCs/>
          <w:b/>
        </w:rPr>
        <w:t xml:space="preserve">2026 LSR Update:</w:t>
      </w:r>
      <w:r>
        <w:t xml:space="preserve"> </w:t>
      </w:r>
      <w:r>
        <w:t xml:space="preserve">While acknowledged, specific quantification of land use change impacts requires more detailed data on the origins and production methods of raw materials, which was beyond the scope of this particular data set.</w:t>
      </w:r>
    </w:p>
    <w:p>
      <w:pPr>
        <w:pStyle w:val="FirstParagraph"/>
      </w:pPr>
      <w:r>
        <w:t xml:space="preserve">Overall, the report provides a robust and transparent assessment based on the provided parameters and widely accepted methodologies, offering valuable insights for honhdvppwf to identify areas for emission reduction.</w:t>
      </w:r>
    </w:p>
    <w:p>
      <w:r>
        <w:pict>
          <v:rect style="width:0;height:1.5pt" o:hralign="center" o:hrstd="t" o:hr="t"/>
        </w:pict>
      </w:r>
    </w:p>
    <w:p>
      <w:pPr>
        <w:pStyle w:val="FirstParagraph"/>
      </w:pPr>
      <w:r>
        <w:t xml:space="preserve">Confidential - Internal Use Only</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fsdmoqrris</dc:title>
  <dc:creator/>
  <dc:description>Detailed Product Carbon Footprint (PCF) analysis report for fsdmoqrris, conducted by mvxqequkyh, Senior Sustainability Consultant at honhdvppwf, adhering to GHG Protocol standards including 2026 LSR Update and 95% Scope 3 coverage.</dc:description>
  <cp:keywords/>
  <dcterms:created xsi:type="dcterms:W3CDTF">2026-07-14T23:52:26Z</dcterms:created>
  <dcterms:modified xsi:type="dcterms:W3CDTF">2026-07-14T23:52:26Z</dcterms:modified>
</cp:coreProperties>
</file>

<file path=docProps/custom.xml><?xml version="1.0" encoding="utf-8"?>
<Properties xmlns="http://schemas.openxmlformats.org/officeDocument/2006/custom-properties" xmlns:vt="http://schemas.openxmlformats.org/officeDocument/2006/docPropsVTypes"/>
</file>