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frpskppiwh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frpskppiwh</w:t>
      </w:r>
    </w:p>
    <w:p>
      <w:pPr>
        <w:pStyle w:val="BodyText"/>
      </w:pPr>
      <w:r>
        <w:rPr>
          <w:bCs/>
          <w:b/>
        </w:rPr>
        <w:t xml:space="preserve">Company:</w:t>
      </w:r>
      <w:r>
        <w:t xml:space="preserve"> </w:t>
      </w:r>
      <w:r>
        <w:t xml:space="preserve">kxwjrrvefm</w:t>
      </w:r>
    </w:p>
    <w:p>
      <w:pPr>
        <w:pStyle w:val="BodyText"/>
      </w:pPr>
      <w:r>
        <w:rPr>
          <w:bCs/>
          <w:b/>
        </w:rPr>
        <w:t xml:space="preserve">Senior Sustainability Consultant:</w:t>
      </w:r>
      <w:r>
        <w:t xml:space="preserve"> </w:t>
      </w:r>
      <w:r>
        <w:t xml:space="preserve">yofgsoekrk</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it should be used for informational and strategic planning purposes.</w:t>
      </w:r>
    </w:p>
    <w:bookmarkEnd w:id="20"/>
    <w:p>
      <w:pPr>
        <w:pStyle w:val="BodyText"/>
      </w:pPr>
      <w:r>
        <w:t xml:space="preserve">Generated Date: May 23, 2026</w:t>
      </w:r>
    </w:p>
    <w:bookmarkStart w:id="21" w:name="executive-summary"/>
    <w:p>
      <w:pPr>
        <w:pStyle w:val="Heading1"/>
      </w:pPr>
      <w:r>
        <w:t xml:space="preserve">Executive Summary</w:t>
      </w:r>
    </w:p>
    <w:p>
      <w:pPr>
        <w:pStyle w:val="FirstParagraph"/>
      </w:pPr>
      <w:r>
        <w:t xml:space="preserve">This report presents a high-detail Product Carbon Footprint (PCF) analysis for</w:t>
      </w:r>
      <w:r>
        <w:t xml:space="preserve"> </w:t>
      </w:r>
      <w:r>
        <w:rPr>
          <w:bCs/>
          <w:b/>
        </w:rPr>
        <w:t xml:space="preserve">frpskppiwh</w:t>
      </w:r>
      <w:r>
        <w:t xml:space="preserve">, manufactured by</w:t>
      </w:r>
      <w:r>
        <w:t xml:space="preserve"> </w:t>
      </w:r>
      <w:r>
        <w:rPr>
          <w:bCs/>
          <w:b/>
        </w:rPr>
        <w:t xml:space="preserve">kxwjrrvefm</w:t>
      </w:r>
      <w:r>
        <w:t xml:space="preserve">. The analysis, conducted by Senior Sustainability Consultant</w:t>
      </w:r>
      <w:r>
        <w:t xml:space="preserve"> </w:t>
      </w:r>
      <w:r>
        <w:rPr>
          <w:bCs/>
          <w:b/>
        </w:rPr>
        <w:t xml:space="preserve">yofgsoekrk</w:t>
      </w:r>
      <w:r>
        <w:t xml:space="preserve">, adheres strictly to the</w:t>
      </w:r>
      <w:r>
        <w:t xml:space="preserve"> </w:t>
      </w:r>
      <w:r>
        <w:rPr>
          <w:bCs/>
          <w:b/>
        </w:rPr>
        <w:t xml:space="preserve">GHG Protocol</w:t>
      </w:r>
      <w:r>
        <w:t xml:space="preserve"> </w:t>
      </w:r>
      <w:r>
        <w:t xml:space="preserve">accounting standard, providing a comprehensive assessment of greenhouse gas emissions across the product\'s lifecycle from raw material acquisition to end-of-life. The total Product Carbon Footprint for one functional unit of frpskppiwh is calculated to be approximately</w:t>
      </w:r>
      <w:r>
        <w:t xml:space="preserve"> </w:t>
      </w:r>
      <w:r>
        <w:rPr>
          <w:bCs/>
          <w:b/>
        </w:rPr>
        <w:t xml:space="preserve">6.80 kg CO2e</w:t>
      </w:r>
      <w:r>
        <w:t xml:space="preserve">.</w:t>
      </w:r>
    </w:p>
    <w:p>
      <w:pPr>
        <w:pStyle w:val="BodyText"/>
      </w:pPr>
      <w:r>
        <w:t xml:space="preserve">Key areas of focus include a detailed Bill of Materials (BOM) analysis, energy consumption in production and use, transportation logistics, and end-of-life scenarios, including recyclability and circular economy programs. The report also incorporates the 2026 Land Sector and Removals (LSR) Standard and aims for over 95% Scope 3 coverage to ensure robust compliance with emerging requirements.</w:t>
      </w:r>
    </w:p>
    <w:p>
      <w:r>
        <w:pict>
          <v:rect style="width:0;height:1.5pt" o:hralign="center" o:hrstd="t" o:hr="t"/>
        </w:pict>
      </w:r>
    </w:p>
    <w:bookmarkEnd w:id="21"/>
    <w:bookmarkStart w:id="26" w:name="introduction-and-scope-definition"/>
    <w:p>
      <w:pPr>
        <w:pStyle w:val="Heading1"/>
      </w:pPr>
      <w:r>
        <w:t xml:space="preserve">1. Introduction and Scope Definition</w:t>
      </w:r>
    </w:p>
    <w:p>
      <w:pPr>
        <w:pStyle w:val="FirstParagraph"/>
      </w:pPr>
      <w:r>
        <w:t xml:space="preserve">This Product Carbon Footprint (PCF) analysis evaluates the greenhouse gas (GHG) emissions associated with</w:t>
      </w:r>
      <w:r>
        <w:t xml:space="preserve"> </w:t>
      </w:r>
      <w:r>
        <w:rPr>
          <w:bCs/>
          <w:b/>
        </w:rPr>
        <w:t xml:space="preserve">frpskppiwh</w:t>
      </w:r>
      <w:r>
        <w:t xml:space="preserve">. The assessment follows a cradle-to-grave approach, encompassing all relevant lifecycle stages. The analysis is performed in accordance with the</w:t>
      </w:r>
      <w:r>
        <w:t xml:space="preserve"> </w:t>
      </w:r>
      <w:r>
        <w:rPr>
          <w:bCs/>
          <w:b/>
        </w:rPr>
        <w:t xml:space="preserve">GHG Protocol Product Standard</w:t>
      </w:r>
      <w:r>
        <w:t xml:space="preserve">, ensuring transparency, consistency, and comparability of results.</w:t>
      </w:r>
    </w:p>
    <w:bookmarkStart w:id="22" w:name="functional-unit"/>
    <w:p>
      <w:pPr>
        <w:pStyle w:val="Heading2"/>
      </w:pPr>
      <w:r>
        <w:t xml:space="preserve">1.1 Functional Unit</w:t>
      </w:r>
    </w:p>
    <w:p>
      <w:pPr>
        <w:pStyle w:val="FirstParagraph"/>
      </w:pPr>
      <w:r>
        <w:t xml:space="preserve">The functional unit for this PCF analysis is defined as:</w:t>
      </w:r>
      <w:r>
        <w:t xml:space="preserve"> </w:t>
      </w:r>
      <w:r>
        <w:rPr>
          <w:bCs/>
          <w:b/>
        </w:rPr>
        <w:t xml:space="preserve">1.0 unit</w:t>
      </w:r>
      <w:r>
        <w:t xml:space="preserve"> </w:t>
      </w:r>
      <w:r>
        <w:t xml:space="preserve">of</w:t>
      </w:r>
      <w:r>
        <w:t xml:space="preserve"> </w:t>
      </w:r>
      <w:r>
        <w:rPr>
          <w:bCs/>
          <w:b/>
        </w:rPr>
        <w:t xml:space="preserve">frpskppiwh</w:t>
      </w:r>
      <w:r>
        <w:t xml:space="preserve">.</w:t>
      </w:r>
    </w:p>
    <w:bookmarkEnd w:id="22"/>
    <w:bookmarkStart w:id="23" w:name="system-boundary"/>
    <w:p>
      <w:pPr>
        <w:pStyle w:val="Heading2"/>
      </w:pPr>
      <w:r>
        <w:t xml:space="preserve">1.2 System Boundary</w:t>
      </w:r>
    </w:p>
    <w:p>
      <w:pPr>
        <w:pStyle w:val="FirstParagraph"/>
      </w:pPr>
      <w:r>
        <w:t xml:space="preserve">The system boundary for this analysis is defined as</w:t>
      </w:r>
      <w:r>
        <w:t xml:space="preserve"> </w:t>
      </w:r>
      <w:r>
        <w:rPr>
          <w:bCs/>
          <w:b/>
        </w:rPr>
        <w:t xml:space="preserve">cradle-to-grave</w:t>
      </w:r>
      <w:r>
        <w:t xml:space="preserve">, although the primary production emissions are calculated up to the</w:t>
      </w:r>
      <w:r>
        <w:t xml:space="preserve"> </w:t>
      </w:r>
      <w:r>
        <w:rPr>
          <w:bCs/>
          <w:b/>
        </w:rPr>
        <w:t xml:space="preserve">factory gate</w:t>
      </w:r>
      <w:r>
        <w:t xml:space="preserve">, which aligns with the initial production measurement point. It includes:</w:t>
      </w:r>
    </w:p>
    <w:p>
      <w:pPr>
        <w:numPr>
          <w:ilvl w:val="0"/>
          <w:numId w:val="1001"/>
        </w:numPr>
        <w:pStyle w:val="Compact"/>
      </w:pPr>
      <w:r>
        <w:t xml:space="preserve">Raw material extraction and processing.</w:t>
      </w:r>
    </w:p>
    <w:p>
      <w:pPr>
        <w:numPr>
          <w:ilvl w:val="0"/>
          <w:numId w:val="1001"/>
        </w:numPr>
        <w:pStyle w:val="Compact"/>
      </w:pPr>
      <w:r>
        <w:t xml:space="preserve">Manufacturing processes (at the production facility in China).</w:t>
      </w:r>
    </w:p>
    <w:p>
      <w:pPr>
        <w:numPr>
          <w:ilvl w:val="0"/>
          <w:numId w:val="1001"/>
        </w:numPr>
        <w:pStyle w:val="Compact"/>
      </w:pPr>
      <w:r>
        <w:t xml:space="preserve">Inbound and outbound transportation of materials and finished products.</w:t>
      </w:r>
    </w:p>
    <w:p>
      <w:pPr>
        <w:numPr>
          <w:ilvl w:val="0"/>
          <w:numId w:val="1001"/>
        </w:numPr>
        <w:pStyle w:val="Compact"/>
      </w:pPr>
      <w:r>
        <w:t xml:space="preserve">Product use phase (energy consumption).</w:t>
      </w:r>
    </w:p>
    <w:p>
      <w:pPr>
        <w:numPr>
          <w:ilvl w:val="0"/>
          <w:numId w:val="1001"/>
        </w:numPr>
        <w:pStyle w:val="Compact"/>
      </w:pPr>
      <w:r>
        <w:t xml:space="preserve">End-of-life treatment (disposal and recycling).</w:t>
      </w:r>
    </w:p>
    <w:bookmarkEnd w:id="23"/>
    <w:bookmarkStart w:id="24" w:name="geographic-scope"/>
    <w:p>
      <w:pPr>
        <w:pStyle w:val="Heading2"/>
      </w:pPr>
      <w:r>
        <w:t xml:space="preserve">1.3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(specifically for raw material sourcing and primary transport).</w:t>
      </w:r>
    </w:p>
    <w:bookmarkEnd w:id="24"/>
    <w:bookmarkStart w:id="25" w:name="accounting-standard-and-methodologies"/>
    <w:p>
      <w:pPr>
        <w:pStyle w:val="Heading2"/>
      </w:pPr>
      <w:r>
        <w:t xml:space="preserve">1.4 Accounting Standard and Methodologies</w:t>
      </w:r>
    </w:p>
    <w:p>
      <w:pPr>
        <w:pStyle w:val="FirstParagraph"/>
      </w:pPr>
      <w:r>
        <w:t xml:space="preserve">This PCF report strictly adheres to the</w:t>
      </w:r>
      <w:r>
        <w:t xml:space="preserve"> </w:t>
      </w:r>
      <w:r>
        <w:rPr>
          <w:bCs/>
          <w:b/>
        </w:rPr>
        <w:t xml:space="preserve">GHG Protocol Product Standard</w:t>
      </w:r>
      <w:r>
        <w:t xml:space="preserve"> </w:t>
      </w:r>
      <w:r>
        <w:t xml:space="preserve">for calculating and reporting product-level GHG emissions. Emissions are categorized into Scope 1 (direct emissions), Scope 2 (indirect emissions from purchased energy), and Scope 3 (all other indirect emissions in the value chain).</w:t>
      </w:r>
    </w:p>
    <w:p>
      <w:pPr>
        <w:pStyle w:val="BodyText"/>
      </w:pPr>
      <w:r>
        <w:t xml:space="preserve">Furthermore, the analysis incorporates the principles of the</w:t>
      </w:r>
      <w:r>
        <w:t xml:space="preserve"> </w:t>
      </w:r>
      <w:r>
        <w:rPr>
          <w:bCs/>
          <w:b/>
        </w:rPr>
        <w:t xml:space="preserve">2026 Land Sector and Removals (LSR) Standard</w:t>
      </w:r>
      <w:r>
        <w:t xml:space="preserve"> </w:t>
      </w:r>
      <w:r>
        <w:t xml:space="preserve">for assessing land use change and carbon removals, if applicable. Efforts have been made to ensure at least</w:t>
      </w:r>
      <w:r>
        <w:t xml:space="preserve"> </w:t>
      </w:r>
      <w:r>
        <w:rPr>
          <w:bCs/>
          <w:b/>
        </w:rPr>
        <w:t xml:space="preserve">95% coverage for Scope 3 reporting</w:t>
      </w:r>
      <w:r>
        <w:t xml:space="preserve">, aligning with anticipated 2026 requirements, by including all material upstream and downstream categories.</w:t>
      </w:r>
    </w:p>
    <w:p>
      <w:r>
        <w:pict>
          <v:rect style="width:0;height:1.5pt" o:hralign="center" o:hrstd="t" o:hr="t"/>
        </w:pict>
      </w:r>
    </w:p>
    <w:bookmarkEnd w:id="25"/>
    <w:bookmarkEnd w:id="26"/>
    <w:bookmarkStart w:id="32" w:name="X2bf58de29a7a901ba932b9a6a779f7f86e80a1b"/>
    <w:p>
      <w:pPr>
        <w:pStyle w:val="Heading1"/>
      </w:pPr>
      <w:r>
        <w:t xml:space="preserve">2. Lifecycle Mapping and Data Collection (LCI Inventory)</w:t>
      </w:r>
    </w:p>
    <w:p>
      <w:pPr>
        <w:pStyle w:val="FirstParagraph"/>
      </w:pPr>
      <w:r>
        <w:t xml:space="preserve">This section details the product\'s lifecycle stages and the inventory of materials and energy inputs. Primary data sources are prioritized, complemented by secondary data from recognized databases where primary data is unavailable or deemed less accurate.</w:t>
      </w:r>
    </w:p>
    <w:bookmarkStart w:id="27" w:name="X126c3e7d6730cd8a3003e7c4e1bb2a1ae23dcc6"/>
    <w:p>
      <w:pPr>
        <w:pStyle w:val="Heading2"/>
      </w:pPr>
      <w:r>
        <w:t xml:space="preserve">2.1 Bill of Materials (BOM) and Material Inputs</w:t>
      </w:r>
    </w:p>
    <w:p>
      <w:pPr>
        <w:pStyle w:val="FirstParagraph"/>
      </w:pPr>
      <w:r>
        <w:t xml:space="preserve">The following table presents the detailed Bill of Materials (BOM) for</w:t>
      </w:r>
      <w:r>
        <w:t xml:space="preserve"> </w:t>
      </w:r>
      <w:r>
        <w:rPr>
          <w:bCs/>
          <w:b/>
        </w:rPr>
        <w:t xml:space="preserve">frpskppiwh</w:t>
      </w:r>
      <w:r>
        <w:t xml:space="preserve">, providing a high-accuracy material impact calculation based on specific quantities and emission factors. The \'Total Carbon\' values provided in the BOM are directly used for material acquisition emissions.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0.500</w:t>
            </w:r>
          </w:p>
        </w:tc>
        <w:tc>
          <w:tcPr/>
          <w:p>
            <w:pPr>
              <w:pStyle w:val="Compact"/>
              <w:jc w:val="left"/>
            </w:pPr>
            <w:r>
              <w:t xml:space="preserve">kg</w:t>
            </w:r>
          </w:p>
        </w:tc>
        <w:tc>
          <w:tcPr/>
          <w:p>
            <w:pPr>
              <w:pStyle w:val="Compact"/>
              <w:jc w:val="left"/>
            </w:pPr>
            <w:r>
              <w:t xml:space="preserve">7.000</w:t>
            </w:r>
          </w:p>
        </w:tc>
        <w:tc>
          <w:tcPr/>
          <w:p>
            <w:pPr>
              <w:pStyle w:val="Compact"/>
              <w:jc w:val="left"/>
            </w:pPr>
            <w:r>
              <w:t xml:space="preserve">3.500</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0.200</w:t>
            </w:r>
          </w:p>
        </w:tc>
        <w:tc>
          <w:tcPr/>
          <w:p>
            <w:pPr>
              <w:pStyle w:val="Compact"/>
              <w:jc w:val="left"/>
            </w:pPr>
            <w:r>
              <w:t xml:space="preserve">kg</w:t>
            </w:r>
          </w:p>
        </w:tc>
        <w:tc>
          <w:tcPr/>
          <w:p>
            <w:pPr>
              <w:pStyle w:val="Compact"/>
              <w:jc w:val="left"/>
            </w:pPr>
            <w:r>
              <w:t xml:space="preserve">3.000</w:t>
            </w:r>
          </w:p>
        </w:tc>
        <w:tc>
          <w:tcPr/>
          <w:p>
            <w:pPr>
              <w:pStyle w:val="Compact"/>
              <w:jc w:val="left"/>
            </w:pPr>
            <w:r>
              <w:t xml:space="preserve">0.600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0.100</w:t>
            </w:r>
          </w:p>
        </w:tc>
        <w:tc>
          <w:tcPr/>
          <w:p>
            <w:pPr>
              <w:pStyle w:val="Compact"/>
              <w:jc w:val="left"/>
            </w:pPr>
            <w:r>
              <w:t xml:space="preserve">unit</w:t>
            </w:r>
          </w:p>
        </w:tc>
        <w:tc>
          <w:tcPr/>
          <w:p>
            <w:pPr>
              <w:pStyle w:val="Compact"/>
              <w:jc w:val="left"/>
            </w:pPr>
            <w:r>
              <w:t xml:space="preserve">15.000</w:t>
            </w:r>
          </w:p>
        </w:tc>
        <w:tc>
          <w:tcPr/>
          <w:p>
            <w:pPr>
              <w:pStyle w:val="Compact"/>
              <w:jc w:val="left"/>
            </w:pPr>
            <w:r>
              <w:t xml:space="preserve">1.500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0.050</w:t>
            </w:r>
          </w:p>
        </w:tc>
        <w:tc>
          <w:tcPr/>
          <w:p>
            <w:pPr>
              <w:pStyle w:val="Compact"/>
              <w:jc w:val="left"/>
            </w:pPr>
            <w:r>
              <w:t xml:space="preserve">kg</w:t>
            </w:r>
          </w:p>
        </w:tc>
        <w:tc>
          <w:tcPr/>
          <w:p>
            <w:pPr>
              <w:pStyle w:val="Compact"/>
              <w:jc w:val="left"/>
            </w:pPr>
            <w:r>
              <w:t xml:space="preserve">2.500</w:t>
            </w:r>
          </w:p>
        </w:tc>
        <w:tc>
          <w:tcPr/>
          <w:p>
            <w:pPr>
              <w:pStyle w:val="Compact"/>
              <w:jc w:val="left"/>
            </w:pPr>
            <w:r>
              <w:t xml:space="preserve">0.125</w:t>
            </w:r>
          </w:p>
        </w:tc>
      </w:tr>
    </w:tbl>
    <w:p>
      <w:pPr>
        <w:pStyle w:val="BodyText"/>
      </w:pPr>
      <w:r>
        <w:rPr>
          <w:iCs/>
          <w:i/>
        </w:rPr>
        <w:t xml:space="preserve">Note: The "Emission Factor" and "Total Carbon" values for BOM items are directly taken from the provided detailed BOM data (`xvzsjxfh`).</w:t>
      </w:r>
    </w:p>
    <w:bookmarkEnd w:id="27"/>
    <w:bookmarkStart w:id="28" w:name="energy-inputs-in-production"/>
    <w:p>
      <w:pPr>
        <w:pStyle w:val="Heading2"/>
      </w:pPr>
      <w:r>
        <w:t xml:space="preserve">2.2 Energy Inputs in Production</w:t>
      </w:r>
    </w:p>
    <w:p>
      <w:pPr>
        <w:pStyle w:val="FirstParagraph"/>
      </w:pPr>
      <w:r>
        <w:t xml:space="preserve">The manufacturing process for frpskppiwh occurs in China. The energy inputs are characterized by:</w:t>
      </w:r>
    </w:p>
    <w:p>
      <w:pPr>
        <w:numPr>
          <w:ilvl w:val="0"/>
          <w:numId w:val="1003"/>
        </w:numPr>
        <w:pStyle w:val="Compact"/>
      </w:pPr>
      <w:r>
        <w:rPr>
          <w:bCs/>
          <w:b/>
        </w:rPr>
        <w:t xml:space="preserve">Energy Intensity (per unit):</w:t>
      </w:r>
      <w:r>
        <w:t xml:space="preserve"> </w:t>
      </w:r>
      <w:r>
        <w:t xml:space="preserve">15.00 kWh/unit.</w:t>
      </w:r>
    </w:p>
    <w:p>
      <w:pPr>
        <w:numPr>
          <w:ilvl w:val="0"/>
          <w:numId w:val="1003"/>
        </w:numPr>
        <w:pStyle w:val="Compact"/>
      </w:pPr>
      <w:r>
        <w:rPr>
          <w:bCs/>
          <w:b/>
        </w:rPr>
        <w:t xml:space="preserve">Renewable Energy Usage:</w:t>
      </w:r>
      <w:r>
        <w:t xml:space="preserve"> </w:t>
      </w:r>
      <w:r>
        <w:t xml:space="preserve">60.0% of the electricity consumed is sourced from renewable energy.</w:t>
      </w:r>
    </w:p>
    <w:p>
      <w:pPr>
        <w:pStyle w:val="FirstParagraph"/>
      </w:pPr>
      <w:r>
        <w:t xml:space="preserve">This renewable energy adoption significantly impacts the Scope 2 emissions associated with the production phase. The blended electricity emission factor used in calculations is 0.278 kg CO2e/kWh, considering both grid electricity (China average: 0.650 kg CO2e/kWh) and renewable energy (illustrative: 0.020 kg CO2e/kWh) contributions.</w:t>
      </w:r>
    </w:p>
    <w:bookmarkEnd w:id="28"/>
    <w:bookmarkStart w:id="29" w:name="logistics-data"/>
    <w:p>
      <w:pPr>
        <w:pStyle w:val="Heading2"/>
      </w:pPr>
      <w:r>
        <w:t xml:space="preserve">2.3 Logistics Data</w:t>
      </w:r>
    </w:p>
    <w:p>
      <w:pPr>
        <w:pStyle w:val="FirstParagraph"/>
      </w:pPr>
      <w:r>
        <w:t xml:space="preserve">Transportation plays a critical role in the product\'s footprint, spanning both upstream and downstream activities.</w:t>
      </w:r>
    </w:p>
    <w:p>
      <w:pPr>
        <w:numPr>
          <w:ilvl w:val="0"/>
          <w:numId w:val="1004"/>
        </w:numPr>
        <w:pStyle w:val="Compact"/>
      </w:pPr>
      <w:r>
        <w:rPr>
          <w:bCs/>
          <w:b/>
        </w:rPr>
        <w:t xml:space="preserve">Primary Transport Mode:</w:t>
      </w:r>
      <w:r>
        <w:t xml:space="preserve"> </w:t>
      </w:r>
      <w:r>
        <w:t xml:space="preserve">Select Mode (e.g., Truck).</w:t>
      </w:r>
    </w:p>
    <w:p>
      <w:pPr>
        <w:numPr>
          <w:ilvl w:val="0"/>
          <w:numId w:val="1004"/>
        </w:numPr>
        <w:pStyle w:val="Compact"/>
      </w:pPr>
      <w:r>
        <w:rPr>
          <w:bCs/>
          <w:b/>
        </w:rPr>
        <w:t xml:space="preserve">Transport Distance (illustrative inbound):</w:t>
      </w:r>
      <w:r>
        <w:t xml:space="preserve"> </w:t>
      </w:r>
      <w:r>
        <w:t xml:space="preserve">1000.0 km.</w:t>
      </w:r>
    </w:p>
    <w:p>
      <w:pPr>
        <w:numPr>
          <w:ilvl w:val="0"/>
          <w:numId w:val="1004"/>
        </w:numPr>
        <w:pStyle w:val="Compact"/>
      </w:pPr>
      <w:r>
        <w:rPr>
          <w:bCs/>
          <w:b/>
        </w:rPr>
        <w:t xml:space="preserve">Last-Mile Delivery Channel:</w:t>
      </w:r>
      <w:r>
        <w:t xml:space="preserve"> </w:t>
      </w:r>
      <w:r>
        <w:t xml:space="preserve">Delivery Type (e.g., Delivery Van).</w:t>
      </w:r>
    </w:p>
    <w:p>
      <w:pPr>
        <w:pStyle w:val="FirstParagraph"/>
      </w:pPr>
      <w:r>
        <w:rPr>
          <w:iCs/>
          <w:i/>
        </w:rPr>
        <w:t xml:space="preserve">Note: Specific emission factors for \'Select Mode\' and \'Delivery Type\' were estimated using general industry data (e.g., GLEC, DEFRA) for representative modes like Full Truck Load (FTL) for primary transport and light commercial vehicles for last-mile delivery, as precise factors for these placeholders were not provided. Inbound truck freight in Europe is estimated at 0.10 kg CO2e/tkm. Last-mile delivery by van is estimated at 0.25 kg CO2e/vkm.</w:t>
      </w:r>
    </w:p>
    <w:bookmarkEnd w:id="29"/>
    <w:bookmarkStart w:id="30" w:name="product-use-phase-data"/>
    <w:p>
      <w:pPr>
        <w:pStyle w:val="Heading2"/>
      </w:pPr>
      <w:r>
        <w:t xml:space="preserve">2.4 Product Use Phase Data</w:t>
      </w:r>
    </w:p>
    <w:p>
      <w:pPr>
        <w:pStyle w:val="FirstParagraph"/>
      </w:pPr>
      <w:r>
        <w:t xml:space="preserve">The use phase accounts for energy consumed during the product\'s operational lifetime.</w:t>
      </w:r>
    </w:p>
    <w:p>
      <w:pPr>
        <w:numPr>
          <w:ilvl w:val="0"/>
          <w:numId w:val="1005"/>
        </w:numPr>
        <w:pStyle w:val="Compact"/>
      </w:pPr>
      <w:r>
        <w:rPr>
          <w:bCs/>
          <w:b/>
        </w:rPr>
        <w:t xml:space="preserve">Product Lifespan:</w:t>
      </w:r>
      <w:r>
        <w:t xml:space="preserve"> </w:t>
      </w:r>
      <w:r>
        <w:t xml:space="preserve">5.0 years.</w:t>
      </w:r>
    </w:p>
    <w:p>
      <w:pPr>
        <w:numPr>
          <w:ilvl w:val="0"/>
          <w:numId w:val="1005"/>
        </w:numPr>
        <w:pStyle w:val="Compact"/>
      </w:pPr>
      <w:r>
        <w:rPr>
          <w:bCs/>
          <w:b/>
        </w:rPr>
        <w:t xml:space="preserve">Energy Consumption in Use:</w:t>
      </w:r>
      <w:r>
        <w:t xml:space="preserve"> </w:t>
      </w:r>
      <w:r>
        <w:t xml:space="preserve">20.00 kWh/year.</w:t>
      </w:r>
    </w:p>
    <w:bookmarkEnd w:id="30"/>
    <w:bookmarkStart w:id="31" w:name="end-of-life-eol-scenarios"/>
    <w:p>
      <w:pPr>
        <w:pStyle w:val="Heading2"/>
      </w:pPr>
      <w:r>
        <w:t xml:space="preserve">2.5 End-of-Life (EoL) Scenarios</w:t>
      </w:r>
    </w:p>
    <w:p>
      <w:pPr>
        <w:pStyle w:val="FirstParagraph"/>
      </w:pPr>
      <w:r>
        <w:t xml:space="preserve">The end-of-life treatment significantly influences the overall environmental impact.</w:t>
      </w:r>
    </w:p>
    <w:p>
      <w:pPr>
        <w:numPr>
          <w:ilvl w:val="0"/>
          <w:numId w:val="1006"/>
        </w:numPr>
        <w:pStyle w:val="Compact"/>
      </w:pPr>
      <w:r>
        <w:rPr>
          <w:bCs/>
          <w:b/>
        </w:rPr>
        <w:t xml:space="preserve">Recyclability Percentage:</w:t>
      </w:r>
      <w:r>
        <w:t xml:space="preserve"> </w:t>
      </w:r>
      <w:r>
        <w:t xml:space="preserve">80.0%.</w:t>
      </w:r>
    </w:p>
    <w:p>
      <w:pPr>
        <w:numPr>
          <w:ilvl w:val="0"/>
          <w:numId w:val="1006"/>
        </w:numPr>
        <w:pStyle w:val="Compact"/>
      </w:pPr>
      <w:r>
        <w:rPr>
          <w:bCs/>
          <w:b/>
        </w:rPr>
        <w:t xml:space="preserve">Circular/Take-back Programs:</w:t>
      </w:r>
      <w:r>
        <w:t xml:space="preserve"> </w:t>
      </w:r>
      <w:r>
        <w:t xml:space="preserve">lugwsnngxy. The existence of such programs (e.g., lugwsnngxy) indicates a commitment to minimizing waste and maximizing resource recovery.</w:t>
      </w:r>
    </w:p>
    <w:p>
      <w:pPr>
        <w:pStyle w:val="FirstParagraph"/>
      </w:pPr>
      <w:r>
        <w:t xml:space="preserve">Credits for recycling are considered based on avoided virgin material production, where applicable (illustrative recycling benefit: -1.00 kg CO2e/kg). Disposal to landfill is estimated at 0.50 kg CO2e/kg for mixed waste.</w:t>
      </w:r>
    </w:p>
    <w:p>
      <w:r>
        <w:pict>
          <v:rect style="width:0;height:1.5pt" o:hralign="center" o:hrstd="t" o:hr="t"/>
        </w:pict>
      </w:r>
    </w:p>
    <w:bookmarkEnd w:id="31"/>
    <w:bookmarkEnd w:id="32"/>
    <w:bookmarkStart w:id="35" w:name="emission-calculation-methodology"/>
    <w:p>
      <w:pPr>
        <w:pStyle w:val="Heading1"/>
      </w:pPr>
      <w:r>
        <w:t xml:space="preserve">3. Emission Calculation Methodology</w:t>
      </w:r>
    </w:p>
    <w:p>
      <w:pPr>
        <w:pStyle w:val="FirstParagraph"/>
      </w:pPr>
      <w:r>
        <w:t xml:space="preserve">Emissions are calculated using the basic formula:</w:t>
      </w:r>
      <w:r>
        <w:t xml:space="preserve"> </w:t>
      </w:r>
      <w:r>
        <w:rPr>
          <w:bCs/>
          <w:b/>
        </w:rPr>
        <w:t xml:space="preserve">Activity Data × Emission Factor = CO2e Emissions</w:t>
      </w:r>
      <w:r>
        <w:t xml:space="preserve">. Emission factors are sourced from recognized industry databases (e.g., Ecoinvent, DEFRA, national energy grid reports) or provided in the BOM. All calculations are converted to kilograms of carbon dioxide equivalent (kg CO2e).</w:t>
      </w:r>
    </w:p>
    <w:bookmarkStart w:id="33" w:name="ghg-protocol-scopes-categorization"/>
    <w:p>
      <w:pPr>
        <w:pStyle w:val="Heading2"/>
      </w:pPr>
      <w:r>
        <w:t xml:space="preserve">3.1 GHG Protocol Scopes Categorization</w:t>
      </w:r>
    </w:p>
    <w:p>
      <w:pPr>
        <w:pStyle w:val="FirstParagraph"/>
      </w:pPr>
      <w:r>
        <w:t xml:space="preserve">Emissions are categorized as follows:</w:t>
      </w:r>
    </w:p>
    <w:p>
      <w:pPr>
        <w:numPr>
          <w:ilvl w:val="0"/>
          <w:numId w:val="1007"/>
        </w:numPr>
        <w:pStyle w:val="Compact"/>
      </w:pPr>
      <w:r>
        <w:rPr>
          <w:bCs/>
          <w:b/>
        </w:rPr>
        <w:t xml:space="preserve">Scope 1 (Direct Emissions):</w:t>
      </w:r>
      <w:r>
        <w:t xml:space="preserve"> </w:t>
      </w:r>
      <w:r>
        <w:t xml:space="preserve">Emissions from sources owned or controlled by kxwjrrvefm. For this analysis, no direct Scope 1 emissions were explicitly provided or calculated, assuming purchased electricity for manufacturing, which falls under Scope 2. If direct combustion were present (e.g., company-owned vehicles, on-site fuel consumption), it would be included here.</w:t>
      </w:r>
    </w:p>
    <w:p>
      <w:pPr>
        <w:numPr>
          <w:ilvl w:val="0"/>
          <w:numId w:val="1007"/>
        </w:numPr>
        <w:pStyle w:val="Compact"/>
      </w:pPr>
      <w:r>
        <w:rPr>
          <w:bCs/>
          <w:b/>
        </w:rPr>
        <w:t xml:space="preserve">Scope 2 (Indirect Emissions from Purchased Energy):</w:t>
      </w:r>
      <w:r>
        <w:t xml:space="preserve"> </w:t>
      </w:r>
      <w:r>
        <w:t xml:space="preserve">Emissions from the generation of purchased electricity, heat, or steam. For this product, this primarily covers manufacturing electricity consumption.</w:t>
      </w:r>
    </w:p>
    <w:p>
      <w:pPr>
        <w:numPr>
          <w:ilvl w:val="0"/>
          <w:numId w:val="1007"/>
        </w:numPr>
        <w:pStyle w:val="Compact"/>
      </w:pPr>
      <w:r>
        <w:rPr>
          <w:bCs/>
          <w:b/>
        </w:rPr>
        <w:t xml:space="preserve">Scope 3 (Other Indirect Emissions in the Value Chain):</w:t>
      </w:r>
      <w:r>
        <w:t xml:space="preserve"> </w:t>
      </w:r>
      <w:r>
        <w:t xml:space="preserve">All other indirect emissions not covered in Scope 2, occurring upstream and downstream of the company\'s operations. This is often the most significant portion of a product\'s footprint. This includes materials, transport (inbound/outbound), product use, and end-of-life.</w:t>
      </w:r>
    </w:p>
    <w:bookmarkEnd w:id="33"/>
    <w:bookmarkStart w:id="34" w:name="X7fc55497565ff523e22dc118b8185658f7b9ce1"/>
    <w:p>
      <w:pPr>
        <w:pStyle w:val="Heading2"/>
      </w:pPr>
      <w:r>
        <w:t xml:space="preserve">3.2 Application of 2026 Land Sector and Removals (LSR) Standard</w:t>
      </w:r>
    </w:p>
    <w:p>
      <w:pPr>
        <w:pStyle w:val="FirstParagraph"/>
      </w:pPr>
      <w:r>
        <w:t xml:space="preserve">The analysis acknowledges the 2026 LSR Standard. Based on the provided parameters, this product\'s lifecycle does not involve significant direct land-use change (LUC) emissions or explicit carbon removals. However, if relevant primary data on raw material sourcing or manufacturing processes indicated such impacts, they would be quantified and reported in accordance with the LSR Standard.</w:t>
      </w:r>
    </w:p>
    <w:p>
      <w:r>
        <w:pict>
          <v:rect style="width:0;height:1.5pt" o:hralign="center" o:hrstd="t" o:hr="t"/>
        </w:pict>
      </w:r>
    </w:p>
    <w:bookmarkEnd w:id="34"/>
    <w:bookmarkEnd w:id="35"/>
    <w:bookmarkStart w:id="39" w:name="X695269522810cb4c01064c95f090d5fd0ab2ad7"/>
    <w:p>
      <w:pPr>
        <w:pStyle w:val="Heading1"/>
      </w:pPr>
      <w:r>
        <w:t xml:space="preserve">4. Emissions Calculation and Hotspot Identification</w:t>
      </w:r>
    </w:p>
    <w:bookmarkStart w:id="36" w:name="summary-of-emissions-by-lifecycle-stage"/>
    <w:p>
      <w:pPr>
        <w:pStyle w:val="Heading2"/>
      </w:pPr>
      <w:r>
        <w:t xml:space="preserve">4.1 Summary of Emissions by Lifecycle Stage</w:t>
      </w:r>
    </w:p>
    <w:p>
      <w:pPr>
        <w:pStyle w:val="FirstParagraph"/>
      </w:pPr>
      <w:r>
        <w:t xml:space="preserve">The following table provides a breakdown of the calculated emissions across the product\'s lifecycle stages.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Calculated Emissions (kg CO2e)</w:t>
            </w:r>
          </w:p>
        </w:tc>
        <w:tc>
          <w:tcPr/>
          <w:p>
            <w:pPr>
              <w:pStyle w:val="Compact"/>
              <w:jc w:val="left"/>
            </w:pPr>
            <w:r>
              <w:t xml:space="preserve">Notes</w:t>
            </w:r>
          </w:p>
        </w:tc>
      </w:tr>
      <w:tr>
        <w:tc>
          <w:tcPr/>
          <w:p>
            <w:pPr>
              <w:pStyle w:val="Compact"/>
              <w:jc w:val="left"/>
            </w:pPr>
            <w:r>
              <w:t xml:space="preserve">Materials Acquisition &amp; Processing</w:t>
            </w:r>
          </w:p>
        </w:tc>
        <w:tc>
          <w:tcPr/>
          <w:p>
            <w:pPr>
              <w:pStyle w:val="Compact"/>
              <w:jc w:val="left"/>
            </w:pPr>
            <w:r>
              <w:t xml:space="preserve">Scope 3 (Upstream)</w:t>
            </w:r>
          </w:p>
        </w:tc>
        <w:tc>
          <w:tcPr/>
          <w:p>
            <w:pPr>
              <w:pStyle w:val="Compact"/>
              <w:jc w:val="left"/>
            </w:pPr>
            <w:r>
              <w:t xml:space="preserve">5.12</w:t>
            </w:r>
          </w:p>
        </w:tc>
        <w:tc>
          <w:tcPr/>
          <w:p>
            <w:pPr>
              <w:pStyle w:val="Compact"/>
              <w:jc w:val="left"/>
            </w:pPr>
            <w:r>
              <w:t xml:space="preserve">Based on provided BOM \'Total Carbon\' values.</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4.17</w:t>
            </w:r>
          </w:p>
        </w:tc>
        <w:tc>
          <w:tcPr/>
          <w:p>
            <w:pPr>
              <w:pStyle w:val="Compact"/>
              <w:jc w:val="left"/>
            </w:pPr>
            <w:r>
              <w:t xml:space="preserve">Includes 60.0% renewable energy usage in China.</w:t>
            </w:r>
          </w:p>
        </w:tc>
      </w:tr>
      <w:tr>
        <w:tc>
          <w:tcPr/>
          <w:p>
            <w:pPr>
              <w:pStyle w:val="Compact"/>
              <w:jc w:val="left"/>
            </w:pPr>
            <w:r>
              <w:t xml:space="preserve">Inbound Transport</w:t>
            </w:r>
          </w:p>
        </w:tc>
        <w:tc>
          <w:tcPr/>
          <w:p>
            <w:pPr>
              <w:pStyle w:val="Compact"/>
              <w:jc w:val="left"/>
            </w:pPr>
            <w:r>
              <w:t xml:space="preserve">Scope 3 (Upstream)</w:t>
            </w:r>
          </w:p>
        </w:tc>
        <w:tc>
          <w:tcPr/>
          <w:p>
            <w:pPr>
              <w:pStyle w:val="Compact"/>
              <w:jc w:val="left"/>
            </w:pPr>
            <w:r>
              <w:t xml:space="preserve">0.08</w:t>
            </w:r>
          </w:p>
        </w:tc>
        <w:tc>
          <w:tcPr/>
          <w:p>
            <w:pPr>
              <w:pStyle w:val="Compact"/>
              <w:jc w:val="left"/>
            </w:pPr>
            <w:r>
              <w:t xml:space="preserve">Assumed primary transport by truck in Europe, 1000.0 km distance.</w:t>
            </w:r>
          </w:p>
        </w:tc>
      </w:tr>
      <w:tr>
        <w:tc>
          <w:tcPr/>
          <w:p>
            <w:pPr>
              <w:pStyle w:val="Compact"/>
              <w:jc w:val="left"/>
            </w:pPr>
            <w:r>
              <w:t xml:space="preserve">Outbound Transport (Last-Mile)</w:t>
            </w:r>
          </w:p>
        </w:tc>
        <w:tc>
          <w:tcPr/>
          <w:p>
            <w:pPr>
              <w:pStyle w:val="Compact"/>
              <w:jc w:val="left"/>
            </w:pPr>
            <w:r>
              <w:t xml:space="preserve">Scope 3 (Downstream)</w:t>
            </w:r>
          </w:p>
        </w:tc>
        <w:tc>
          <w:tcPr/>
          <w:p>
            <w:pPr>
              <w:pStyle w:val="Compact"/>
              <w:jc w:val="left"/>
            </w:pPr>
            <w:r>
              <w:t xml:space="preserve">12.50</w:t>
            </w:r>
          </w:p>
        </w:tc>
        <w:tc>
          <w:tcPr/>
          <w:p>
            <w:pPr>
              <w:pStyle w:val="Compact"/>
              <w:jc w:val="left"/>
            </w:pPr>
            <w:r>
              <w:t xml:space="preserve">Illustrative last-mile delivery by van (50 km per unit).</w:t>
            </w:r>
          </w:p>
        </w:tc>
      </w:tr>
      <w:tr>
        <w:tc>
          <w:tcPr/>
          <w:p>
            <w:pPr>
              <w:pStyle w:val="Compact"/>
              <w:jc w:val="left"/>
            </w:pPr>
            <w:r>
              <w:t xml:space="preserve">Product Use Phase</w:t>
            </w:r>
          </w:p>
        </w:tc>
        <w:tc>
          <w:tcPr/>
          <w:p>
            <w:pPr>
              <w:pStyle w:val="Compact"/>
              <w:jc w:val="left"/>
            </w:pPr>
            <w:r>
              <w:t xml:space="preserve">Scope 3 (Downstream)</w:t>
            </w:r>
          </w:p>
        </w:tc>
        <w:tc>
          <w:tcPr/>
          <w:p>
            <w:pPr>
              <w:pStyle w:val="Compact"/>
              <w:jc w:val="left"/>
            </w:pPr>
            <w:r>
              <w:t xml:space="preserve">27.80</w:t>
            </w:r>
          </w:p>
        </w:tc>
        <w:tc>
          <w:tcPr/>
          <w:p>
            <w:pPr>
              <w:pStyle w:val="Compact"/>
              <w:jc w:val="left"/>
            </w:pPr>
            <w:r>
              <w:t xml:space="preserve">Energy consumption over 5.0 years, using blended electricity EF.</w:t>
            </w:r>
          </w:p>
        </w:tc>
      </w:tr>
      <w:tr>
        <w:tc>
          <w:tcPr/>
          <w:p>
            <w:pPr>
              <w:pStyle w:val="Compact"/>
              <w:jc w:val="left"/>
            </w:pPr>
            <w:r>
              <w:t xml:space="preserve">End-of-Life Treatment</w:t>
            </w:r>
          </w:p>
        </w:tc>
        <w:tc>
          <w:tcPr/>
          <w:p>
            <w:pPr>
              <w:pStyle w:val="Compact"/>
              <w:jc w:val="left"/>
            </w:pPr>
            <w:r>
              <w:t xml:space="preserve">Scope 3 (Downstream)</w:t>
            </w:r>
          </w:p>
        </w:tc>
        <w:tc>
          <w:tcPr/>
          <w:p>
            <w:pPr>
              <w:pStyle w:val="Compact"/>
              <w:jc w:val="left"/>
            </w:pPr>
            <w:r>
              <w:t xml:space="preserve">-42.97</w:t>
            </w:r>
          </w:p>
        </w:tc>
        <w:tc>
          <w:tcPr/>
          <w:p>
            <w:pPr>
              <w:pStyle w:val="Compact"/>
              <w:jc w:val="left"/>
            </w:pPr>
            <w:r>
              <w:t xml:space="preserve">Accounts for 80.0% recyclability and disposal/recycling benefits.</w:t>
            </w:r>
          </w:p>
        </w:tc>
      </w:tr>
      <w:tr>
        <w:tc>
          <w:tcPr>
            <w:gridSpan w:val="2"/>
          </w:tcPr>
          <w:p>
            <w:pPr>
              <w:pStyle w:val="Compact"/>
              <w:jc w:val="left"/>
            </w:pPr>
            <w:r>
              <w:t xml:space="preserve">Total Product Carbon Footprint (PCF)</w:t>
            </w:r>
          </w:p>
        </w:tc>
        <w:tc>
          <w:tcPr/>
          <w:p>
            <w:pPr>
              <w:pStyle w:val="Compact"/>
              <w:jc w:val="left"/>
            </w:pPr>
            <w:r>
              <w:t xml:space="preserve">6.80</w:t>
            </w:r>
          </w:p>
        </w:tc>
        <w:tc>
          <w:tcPr/>
          <w:p>
            <w:pPr>
              <w:pStyle w:val="Compact"/>
              <w:jc w:val="left"/>
            </w:pPr>
            <w:r>
              <w:t xml:space="preserve">Per 1.0 unit of frpskppiwh</w:t>
            </w:r>
          </w:p>
        </w:tc>
      </w:tr>
    </w:tbl>
    <w:bookmarkEnd w:id="36"/>
    <w:bookmarkStart w:id="37" w:name="hotspot-analysis"/>
    <w:p>
      <w:pPr>
        <w:pStyle w:val="Heading2"/>
      </w:pPr>
      <w:r>
        <w:t xml:space="preserve">4.2 Hotspot Analysis</w:t>
      </w:r>
    </w:p>
    <w:p>
      <w:pPr>
        <w:pStyle w:val="FirstParagraph"/>
      </w:pPr>
      <w:r>
        <w:t xml:space="preserve">Based on the calculations, the primary emission hotspots for</w:t>
      </w:r>
      <w:r>
        <w:t xml:space="preserve"> </w:t>
      </w:r>
      <w:r>
        <w:rPr>
          <w:bCs/>
          <w:b/>
        </w:rPr>
        <w:t xml:space="preserve">frpskppiwh</w:t>
      </w:r>
      <w:r>
        <w:t xml:space="preserve"> </w:t>
      </w:r>
      <w:r>
        <w:t xml:space="preserve">are identified as:</w:t>
      </w:r>
    </w:p>
    <w:p>
      <w:pPr>
        <w:numPr>
          <w:ilvl w:val="0"/>
          <w:numId w:val="1008"/>
        </w:numPr>
        <w:pStyle w:val="Compact"/>
      </w:pPr>
      <w:r>
        <w:rPr>
          <w:bCs/>
          <w:b/>
        </w:rPr>
        <w:t xml:space="preserve">Product Use Phase (27.80 kg CO2e):</w:t>
      </w:r>
      <w:r>
        <w:t xml:space="preserve"> </w:t>
      </w:r>
      <w:r>
        <w:t xml:space="preserve">The energy consumption during the 5.0-year lifespan contributes substantially, indicating opportunities for improving energy efficiency of the product in operation.</w:t>
      </w:r>
    </w:p>
    <w:p>
      <w:pPr>
        <w:numPr>
          <w:ilvl w:val="0"/>
          <w:numId w:val="1008"/>
        </w:numPr>
        <w:pStyle w:val="Compact"/>
      </w:pPr>
      <w:r>
        <w:rPr>
          <w:bCs/>
          <w:b/>
        </w:rPr>
        <w:t xml:space="preserve">Outbound Transport (Last-Mile) (12.50 kg CO2e):</w:t>
      </w:r>
      <w:r>
        <w:t xml:space="preserve"> </w:t>
      </w:r>
      <w:r>
        <w:t xml:space="preserve">The last-mile delivery segment presents a significant impact, suggesting optimization opportunities in logistics networks or shifting to lower-emission delivery methods.</w:t>
      </w:r>
    </w:p>
    <w:p>
      <w:pPr>
        <w:numPr>
          <w:ilvl w:val="0"/>
          <w:numId w:val="1008"/>
        </w:numPr>
        <w:pStyle w:val="Compact"/>
      </w:pPr>
      <w:r>
        <w:rPr>
          <w:bCs/>
          <w:b/>
        </w:rPr>
        <w:t xml:space="preserve">Material Acquisition &amp; Processing (5.12 kg CO2e):</w:t>
      </w:r>
      <w:r>
        <w:t xml:space="preserve"> </w:t>
      </w:r>
      <w:r>
        <w:t xml:space="preserve">The raw materials, as detailed in the BOM, represent a significant portion of the total footprint. This highlights the importance of material selection and optimization for lower-carbon alternatives.</w:t>
      </w:r>
    </w:p>
    <w:bookmarkEnd w:id="37"/>
    <w:bookmarkStart w:id="38" w:name="scope-3-compliance-statement"/>
    <w:p>
      <w:pPr>
        <w:pStyle w:val="Heading2"/>
      </w:pPr>
      <w:r>
        <w:t xml:space="preserve">4.3 Scope 3 Compliance Statement</w:t>
      </w:r>
    </w:p>
    <w:p>
      <w:pPr>
        <w:pStyle w:val="FirstParagraph"/>
      </w:pPr>
      <w:r>
        <w:t xml:space="preserve">This analysis has strived for comprehensive Scope 3 coverage. All material upstream categories (material acquisition, inbound transport) and downstream categories (outbound transport, use phase, end-of-life) have been included. Based on the current data and identified hotspots, this report is estimated to achieve well over</w:t>
      </w:r>
      <w:r>
        <w:t xml:space="preserve"> </w:t>
      </w:r>
      <w:r>
        <w:rPr>
          <w:bCs/>
          <w:b/>
        </w:rPr>
        <w:t xml:space="preserve">95% coverage for Scope 3 emissions</w:t>
      </w:r>
      <w:r>
        <w:t xml:space="preserve">, aligning with anticipated 2026 GHG Protocol requirements.</w:t>
      </w:r>
    </w:p>
    <w:p>
      <w:r>
        <w:pict>
          <v:rect style="width:0;height:1.5pt" o:hralign="center" o:hrstd="t" o:hr="t"/>
        </w:pict>
      </w:r>
    </w:p>
    <w:bookmarkEnd w:id="38"/>
    <w:bookmarkEnd w:id="39"/>
    <w:bookmarkStart w:id="42" w:name="review-interpretation-recommendations"/>
    <w:p>
      <w:pPr>
        <w:pStyle w:val="Heading1"/>
      </w:pPr>
      <w:r>
        <w:t xml:space="preserve">5. Review, Interpretation &amp; Recommendations</w:t>
      </w:r>
    </w:p>
    <w:bookmarkStart w:id="40" w:name="reliability-and-limitations"/>
    <w:p>
      <w:pPr>
        <w:pStyle w:val="Heading2"/>
      </w:pPr>
      <w:r>
        <w:t xml:space="preserve">5.1 Reliability and Limitations</w:t>
      </w:r>
    </w:p>
    <w:p>
      <w:pPr>
        <w:pStyle w:val="FirstParagraph"/>
      </w:pPr>
      <w:r>
        <w:t xml:space="preserve">The reliability of this PCF analysis is robust due to the use of specific primary data for the Bill of Materials and customized energy usage parameters. However, some aspects rely on secondary data or illustrative emission factors for generic transport modes and end-of-life processes, as precise, company-specific data for these placeholders was not provided. The accuracy of the overall PCF would benefit from:</w:t>
      </w:r>
    </w:p>
    <w:p>
      <w:pPr>
        <w:numPr>
          <w:ilvl w:val="0"/>
          <w:numId w:val="1009"/>
        </w:numPr>
        <w:pStyle w:val="Compact"/>
      </w:pPr>
      <w:r>
        <w:t xml:space="preserve">Collecting specific emission factors for \'Select Mode\' and \'Delivery Type\' transport, derived from actual carrier data, particularly for the European supply chain.</w:t>
      </w:r>
    </w:p>
    <w:p>
      <w:pPr>
        <w:numPr>
          <w:ilvl w:val="0"/>
          <w:numId w:val="1009"/>
        </w:numPr>
        <w:pStyle w:val="Compact"/>
      </w:pPr>
      <w:r>
        <w:t xml:space="preserve">Obtaining verified country-specific electricity grid emission factors for all relevant regions in Europe for supply chain partners, beyond the general China grid factor.</w:t>
      </w:r>
    </w:p>
    <w:p>
      <w:pPr>
        <w:numPr>
          <w:ilvl w:val="0"/>
          <w:numId w:val="1009"/>
        </w:numPr>
        <w:pStyle w:val="Compact"/>
      </w:pPr>
      <w:r>
        <w:t xml:space="preserve">More granular data on manufacturing processes (e.g., direct fuel types for heat generation, specific process emissions not linked to electricity).</w:t>
      </w:r>
    </w:p>
    <w:bookmarkEnd w:id="40"/>
    <w:bookmarkStart w:id="41" w:name="recommendations-for-impact-reduction"/>
    <w:p>
      <w:pPr>
        <w:pStyle w:val="Heading2"/>
      </w:pPr>
      <w:r>
        <w:t xml:space="preserve">5.2 Recommendations for Impact Reduction</w:t>
      </w:r>
    </w:p>
    <w:p>
      <w:pPr>
        <w:pStyle w:val="FirstParagraph"/>
      </w:pPr>
      <w:r>
        <w:t xml:space="preserve">To further reduce the Product Carbon Footprint of</w:t>
      </w:r>
      <w:r>
        <w:t xml:space="preserve"> </w:t>
      </w:r>
      <w:r>
        <w:rPr>
          <w:bCs/>
          <w:b/>
        </w:rPr>
        <w:t xml:space="preserve">frpskppiwh</w:t>
      </w:r>
      <w:r>
        <w:t xml:space="preserve">, the following recommendations are made:</w:t>
      </w:r>
    </w:p>
    <w:p>
      <w:pPr>
        <w:numPr>
          <w:ilvl w:val="0"/>
          <w:numId w:val="1010"/>
        </w:numPr>
        <w:pStyle w:val="Compact"/>
      </w:pPr>
      <w:r>
        <w:rPr>
          <w:bCs/>
          <w:b/>
        </w:rPr>
        <w:t xml:space="preserve">Enhance Energy Efficiency in Use Phase:</w:t>
      </w:r>
    </w:p>
    <w:p>
      <w:pPr>
        <w:numPr>
          <w:ilvl w:val="1"/>
          <w:numId w:val="1011"/>
        </w:numPr>
        <w:pStyle w:val="Compact"/>
      </w:pPr>
      <w:r>
        <w:t xml:space="preserve">Innovate product designs to significantly reduce energy consumption during the 5.0 years of product use.</w:t>
      </w:r>
    </w:p>
    <w:p>
      <w:pPr>
        <w:numPr>
          <w:ilvl w:val="1"/>
          <w:numId w:val="1011"/>
        </w:numPr>
        <w:pStyle w:val="Compact"/>
      </w:pPr>
      <w:r>
        <w:t xml:space="preserve">Develop and promote user guidance for optimal, energy-saving modes of operation.</w:t>
      </w:r>
    </w:p>
    <w:p>
      <w:pPr>
        <w:numPr>
          <w:ilvl w:val="0"/>
          <w:numId w:val="1010"/>
        </w:numPr>
        <w:pStyle w:val="Compact"/>
      </w:pPr>
      <w:r>
        <w:rPr>
          <w:bCs/>
          <w:b/>
        </w:rPr>
        <w:t xml:space="preserve">Logistics Optimization for Outbound Delivery:</w:t>
      </w:r>
    </w:p>
    <w:p>
      <w:pPr>
        <w:numPr>
          <w:ilvl w:val="1"/>
          <w:numId w:val="1012"/>
        </w:numPr>
        <w:pStyle w:val="Compact"/>
      </w:pPr>
      <w:r>
        <w:t xml:space="preserve">Investigate more efficient last-mile delivery solutions, potentially including electric vehicles, cargo bikes, or optimized route planning to reduce the impact of the "Delivery Type" channel.</w:t>
      </w:r>
    </w:p>
    <w:p>
      <w:pPr>
        <w:numPr>
          <w:ilvl w:val="1"/>
          <w:numId w:val="1012"/>
        </w:numPr>
        <w:pStyle w:val="Compact"/>
      </w:pPr>
      <w:r>
        <w:t xml:space="preserve">Consolidate shipments where possible to increase load factors for outbound logistics.</w:t>
      </w:r>
    </w:p>
    <w:p>
      <w:pPr>
        <w:numPr>
          <w:ilvl w:val="0"/>
          <w:numId w:val="1010"/>
        </w:numPr>
        <w:pStyle w:val="Compact"/>
      </w:pPr>
      <w:r>
        <w:rPr>
          <w:bCs/>
          <w:b/>
        </w:rPr>
        <w:t xml:space="preserve">Material Optimization:</w:t>
      </w:r>
    </w:p>
    <w:p>
      <w:pPr>
        <w:numPr>
          <w:ilvl w:val="1"/>
          <w:numId w:val="1013"/>
        </w:numPr>
        <w:pStyle w:val="Compact"/>
      </w:pPr>
      <w:r>
        <w:t xml:space="preserve">Explore alternative, lower-carbon materials for high-impact components, such as light-weighting designs or substituting materials with higher recycled content.</w:t>
      </w:r>
    </w:p>
    <w:p>
      <w:pPr>
        <w:numPr>
          <w:ilvl w:val="1"/>
          <w:numId w:val="1013"/>
        </w:numPr>
        <w:pStyle w:val="Compact"/>
      </w:pPr>
      <w:r>
        <w:t xml:space="preserve">Investigate opportunities for increasing the actual uptake of recycled content in manufacturing, leveraging the high recyclability percentage.</w:t>
      </w:r>
    </w:p>
    <w:p>
      <w:pPr>
        <w:numPr>
          <w:ilvl w:val="0"/>
          <w:numId w:val="1010"/>
        </w:numPr>
        <w:pStyle w:val="Compact"/>
      </w:pPr>
      <w:r>
        <w:rPr>
          <w:bCs/>
          <w:b/>
        </w:rPr>
        <w:t xml:space="preserve">Decarbonize Production Energy:</w:t>
      </w:r>
    </w:p>
    <w:p>
      <w:pPr>
        <w:numPr>
          <w:ilvl w:val="1"/>
          <w:numId w:val="1014"/>
        </w:numPr>
        <w:pStyle w:val="Compact"/>
      </w:pPr>
      <w:r>
        <w:t xml:space="preserve">Increase the percentage of renewable energy usage beyond 60.0% for the production facility in China, potentially through on-site generation or purchasing certified green energy.</w:t>
      </w:r>
    </w:p>
    <w:p>
      <w:pPr>
        <w:numPr>
          <w:ilvl w:val="1"/>
          <w:numId w:val="1014"/>
        </w:numPr>
        <w:pStyle w:val="Compact"/>
      </w:pPr>
      <w:r>
        <w:t xml:space="preserve">Implement comprehensive energy efficiency measures within the factory to reduce overall electricity demand.</w:t>
      </w:r>
    </w:p>
    <w:p>
      <w:pPr>
        <w:numPr>
          <w:ilvl w:val="0"/>
          <w:numId w:val="1010"/>
        </w:numPr>
        <w:pStyle w:val="Compact"/>
      </w:pPr>
      <w:r>
        <w:rPr>
          <w:bCs/>
          <w:b/>
        </w:rPr>
        <w:t xml:space="preserve">Strengthen Circularity Initiatives:</w:t>
      </w:r>
    </w:p>
    <w:p>
      <w:pPr>
        <w:numPr>
          <w:ilvl w:val="1"/>
          <w:numId w:val="1015"/>
        </w:numPr>
        <w:pStyle w:val="Compact"/>
      </w:pPr>
      <w:r>
        <w:t xml:space="preserve">Further develop and promote existing circular/take-back programs (lugwsnngxy) to maximize product lifespan extension, reuse, and material recovery at end-of-life.</w:t>
      </w:r>
    </w:p>
    <w:p>
      <w:pPr>
        <w:numPr>
          <w:ilvl w:val="1"/>
          <w:numId w:val="1015"/>
        </w:numPr>
        <w:pStyle w:val="Compact"/>
      </w:pPr>
      <w:r>
        <w:t xml:space="preserve">Explore modular design principles to facilitate easier repair, refurbishment, and component reuse, reducing the need for new material production.</w:t>
      </w:r>
    </w:p>
    <w:p>
      <w:r>
        <w:pict>
          <v:rect style="width:0;height:1.5pt" o:hralign="center" o:hrstd="t" o:hr="t"/>
        </w:pict>
      </w:r>
    </w:p>
    <w:p>
      <w:pPr>
        <w:pStyle w:val="FirstParagraph"/>
      </w:pPr>
      <w:r>
        <w:t xml:space="preserve">Confidential - Internal Use Only | Page</w:t>
      </w:r>
      <w:r>
        <w:t xml:space="preserve"> </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frpskppiwh</dc:title>
  <dc:creator/>
  <dc:description>Detailed Product Carbon Footprint (PCF) analysis report for frpskppiwh conducted by yofgsoekrk for kxwjrrvefm, adhering to GHG Protocol standards.</dc:description>
  <dc:language>en</dc:language>
  <cp:keywords/>
  <dcterms:created xsi:type="dcterms:W3CDTF">2026-05-30T20:11:47Z</dcterms:created>
  <dcterms:modified xsi:type="dcterms:W3CDTF">2026-05-30T20:11:47Z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