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frndtdrvqe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rndtdrvqe"/>
    <w:p>
      <w:pPr>
        <w:pStyle w:val="Heading2"/>
      </w:pPr>
      <w:r>
        <w:t xml:space="preserve">Product: frndtdrvqe</w:t>
      </w:r>
    </w:p>
    <w:p>
      <w:pPr>
        <w:pStyle w:val="FirstParagraph"/>
      </w:pPr>
      <w:r>
        <w:rPr>
          <w:bCs/>
          <w:b/>
        </w:rPr>
        <w:t xml:space="preserve">Company Name:</w:t>
      </w:r>
      <w:r>
        <w:t xml:space="preserve"> </w:t>
      </w:r>
      <w:r>
        <w:t xml:space="preserve">duyywqkoqt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nzmimzgjpj</w:t>
      </w:r>
    </w:p>
    <w:p>
      <w:pPr>
        <w:pStyle w:val="BodyText"/>
      </w:pPr>
      <w:r>
        <w:t xml:space="preserve">Disclaimer: This report is generated based on available data and industry standards. While efforts have been made to ensure accuracy, certain parameters were interpreted illustratively due to the generic nature of the provided input strings. For definitive results, precise primary data for all parameters is recommended.</w:t>
      </w:r>
    </w:p>
    <w:bookmarkEnd w:id="20"/>
    <w:bookmarkEnd w:id="21"/>
    <w:bookmarkStart w:id="22" w:name="Xe4629e5b3a5a46ae2385f717926c7475194f5b0"/>
    <w:p>
      <w:pPr>
        <w:pStyle w:val="Heading1"/>
      </w:pPr>
      <w:r>
        <w:t xml:space="preserve">Product Carbon Footprint Analysis for frndtdrvqe</w:t>
      </w:r>
    </w:p>
    <w:p>
      <w:pPr>
        <w:pStyle w:val="FirstParagraph"/>
      </w:pPr>
      <w:r>
        <w:t xml:space="preserve">Generated Date: May 25,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frndtdrvqe</w:t>
      </w:r>
      <w:r>
        <w:t xml:space="preserve">, manufactured by</w:t>
      </w:r>
      <w:r>
        <w:t xml:space="preserve"> </w:t>
      </w:r>
      <w:r>
        <w:rPr>
          <w:bCs/>
          <w:b/>
        </w:rPr>
        <w:t xml:space="preserve">duyywqkoqt</w:t>
      </w:r>
      <w:r>
        <w:t xml:space="preserve">. The assessment, conducted by Senior Sustainability Consultant</w:t>
      </w:r>
      <w:r>
        <w:t xml:space="preserve"> </w:t>
      </w:r>
      <w:r>
        <w:rPr>
          <w:bCs/>
          <w:b/>
        </w:rPr>
        <w:t xml:space="preserve">nzmimzgjpj</w:t>
      </w:r>
      <w:r>
        <w:t xml:space="preserve">, adheres to the GHG Protocol accounting standard, with a focus on comprehensive Scope 3 reporting and the integration of the 2026 Land Sector and Removals (LSR) Standard. The analysis covers the lifecycle stages from raw material extraction to the factory gate, encompassing material production, manufacturing energy, and upstream transportation.</w:t>
      </w:r>
    </w:p>
    <w:p>
      <w:pPr>
        <w:pStyle w:val="BodyText"/>
      </w:pPr>
      <w:r>
        <w:t xml:space="preserve">The total PCF for one functional unit of frndtdrvqe is calculated based on a detailed Bill of Materials, specified transport logistics, renewable energy usage, and assumptions for the use and end-of-life phases. Key emission hotspots are identified in material acquisition and manufacturing energy, emphasizing areas for targeted reduction efforts.</w:t>
      </w:r>
    </w:p>
    <w:bookmarkEnd w:id="23"/>
    <w:p>
      <w:r>
        <w:pict>
          <v:rect style="width:0;height:1.5pt" o:hralign="center" o:hrstd="t" o:hr="t"/>
        </w:pict>
      </w:r>
    </w:p>
    <w:bookmarkStart w:id="29" w:name="introduction-and-scope-definition"/>
    <w:p>
      <w:pPr>
        <w:pStyle w:val="Heading2"/>
      </w:pPr>
      <w:r>
        <w:t xml:space="preserve">1. Introduction and Scope Definition</w:t>
      </w:r>
    </w:p>
    <w:p>
      <w:pPr>
        <w:pStyle w:val="FirstParagraph"/>
      </w:pPr>
      <w:r>
        <w:t xml:space="preserve">This Product Carbon Footprint (PCF) analysis aims to quantify the greenhouse gas (GHG) emissions associated with the product</w:t>
      </w:r>
      <w:r>
        <w:t xml:space="preserve"> </w:t>
      </w:r>
      <w:r>
        <w:rPr>
          <w:bCs/>
          <w:b/>
        </w:rPr>
        <w:t xml:space="preserve">frndtdrvqe</w:t>
      </w:r>
      <w:r>
        <w:t xml:space="preserve"> </w:t>
      </w:r>
      <w:r>
        <w:t xml:space="preserve">over its defined lifecycle, adhering strictly to the GHG Protocol standards. The methodology encompasses five key steps: Define Scope, Map Lifecycle, Collect Data, Calculate Emissions, and Review &amp; Report.</w:t>
      </w:r>
    </w:p>
    <w:bookmarkStart w:id="24"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frndtdrvqe.</w:t>
      </w:r>
    </w:p>
    <w:bookmarkEnd w:id="24"/>
    <w:bookmarkStart w:id="25" w:name="system-boundary"/>
    <w:p>
      <w:pPr>
        <w:pStyle w:val="Heading3"/>
      </w:pPr>
      <w:r>
        <w:t xml:space="preserve">1.2 System Boundary</w:t>
      </w:r>
    </w:p>
    <w:p>
      <w:pPr>
        <w:numPr>
          <w:ilvl w:val="0"/>
          <w:numId w:val="1002"/>
        </w:numPr>
        <w:pStyle w:val="Compact"/>
      </w:pPr>
      <w:r>
        <w:t xml:space="preserve">The system boundary for this assessment is</w:t>
      </w:r>
      <w:r>
        <w:t xml:space="preserve"> </w:t>
      </w:r>
      <w:r>
        <w:rPr>
          <w:bCs/>
          <w:b/>
        </w:rPr>
        <w:t xml:space="preserve">"factory_gate"</w:t>
      </w:r>
      <w:r>
        <w:t xml:space="preserve">. This means the analysis includes all emissions from raw material acquisition, upstream transportation, and manufacturing processes up to the point where the finished product leaves duyywqkoqt\'s factory. While use phase and end-of-life scenarios are discussed for a holistic understanding, their full emissions are reported as part of Scope 3 but are outside the strict \'factory_gate\' boundary for the primary PCF total.</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numPr>
          <w:ilvl w:val="0"/>
          <w:numId w:val="1004"/>
        </w:numPr>
        <w:pStyle w:val="Compact"/>
      </w:pPr>
      <w:r>
        <w:t xml:space="preserve">The assessment strictly follows the</w:t>
      </w:r>
      <w:r>
        <w:t xml:space="preserve"> </w:t>
      </w:r>
      <w:r>
        <w:rPr>
          <w:bCs/>
          <w:b/>
        </w:rPr>
        <w:t xml:space="preserve">GHG Protocol</w:t>
      </w:r>
      <w:r>
        <w:t xml:space="preserve"> </w:t>
      </w:r>
      <w:r>
        <w:t xml:space="preserve">for corporate value chain (Scope 3) accounting and reporting, ensuring categorization of emissions into Scope 1 (direct), Scope 2 (purchased energy), and Scope 3 (value chain).</w:t>
      </w:r>
    </w:p>
    <w:bookmarkEnd w:id="27"/>
    <w:bookmarkStart w:id="28" w:name="allocation"/>
    <w:p>
      <w:pPr>
        <w:pStyle w:val="Heading3"/>
      </w:pPr>
      <w:r>
        <w:t xml:space="preserve">1.5 Allocation</w:t>
      </w:r>
    </w:p>
    <w:p>
      <w:pPr>
        <w:numPr>
          <w:ilvl w:val="0"/>
          <w:numId w:val="1005"/>
        </w:numPr>
        <w:pStyle w:val="Compact"/>
      </w:pPr>
      <w:r>
        <w:t xml:space="preserve">Emissions are allocated directly to the functional unit (1.0 unit of frndtdrvqe). Where shared processes or infrastructure are involved (e.g., transport vehicles carrying multiple goods), emissions are allocated based on mass or relevant activity data to ensure accurate representation for the product.</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assumed for the analysis of frndtdrvqe. Due to the generic nature of some input parameters, illustrative data and industry-standard emission factors are used to demonstrate the methodology. These assumptions are explicitly noted.</w:t>
      </w:r>
    </w:p>
    <w:bookmarkStart w:id="30" w:name="Xb29b63cbc9674486ad008ca74ec6f0650f0befd"/>
    <w:p>
      <w:pPr>
        <w:pStyle w:val="Heading3"/>
      </w:pPr>
      <w:r>
        <w:t xml:space="preserve">2.1 Illustrative Bill of Materials (BOM) - lluzkngy</w:t>
      </w:r>
    </w:p>
    <w:p>
      <w:pPr>
        <w:pStyle w:val="FirstParagraph"/>
      </w:pPr>
      <w:r>
        <w:t xml:space="preserve">The detailed Bill of Materials (BOM)</w:t>
      </w:r>
      <w:r>
        <w:t xml:space="preserve"> </w:t>
      </w:r>
      <w:r>
        <w:rPr>
          <w:bCs/>
          <w:b/>
        </w:rPr>
        <w:t xml:space="preserve">lluzkngy</w:t>
      </w:r>
      <w:r>
        <w:t xml:space="preserve"> </w:t>
      </w:r>
      <w:r>
        <w:t xml:space="preserve">is critical for high-accuracy material impact calculation. As</w:t>
      </w:r>
      <w:r>
        <w:t xml:space="preserve"> </w:t>
      </w:r>
      <w:r>
        <w:rPr>
          <w:bCs/>
          <w:b/>
        </w:rPr>
        <w:t xml:space="preserve">lluzkngy</w:t>
      </w:r>
      <w:r>
        <w:t xml:space="preserve"> </w:t>
      </w:r>
      <w:r>
        <w:t xml:space="preserve">was provided as a string, the following table presents an illustrative BOM, using example material data and pre-calculated "Total Carbon" values as indicated by the prompt\'s format. These values represent the emissions associated with the extraction and production of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Material Impact (Illustrative):</w:t>
      </w:r>
      <w:r>
        <w:t xml:space="preserve"> </w:t>
      </w:r>
      <w:r>
        <w:t xml:space="preserve">6.20 kg CO2e</w:t>
      </w:r>
    </w:p>
    <w:bookmarkEnd w:id="30"/>
    <w:bookmarkStart w:id="31" w:name="production-phase-energy-inputs"/>
    <w:p>
      <w:pPr>
        <w:pStyle w:val="Heading3"/>
      </w:pPr>
      <w:r>
        <w:t xml:space="preserve">2.2 Production Phase Energy Inputs</w:t>
      </w:r>
    </w:p>
    <w:p>
      <w:pPr>
        <w:pStyle w:val="FirstParagraph"/>
      </w:pPr>
      <w:r>
        <w:t xml:space="preserve">The energy consumed during the manufacturing process in China is a significant contributor to the PCF.</w:t>
      </w:r>
    </w:p>
    <w:p>
      <w:pPr>
        <w:numPr>
          <w:ilvl w:val="0"/>
          <w:numId w:val="1006"/>
        </w:numPr>
        <w:pStyle w:val="Compact"/>
      </w:pPr>
      <w:r>
        <w:rPr>
          <w:bCs/>
          <w:b/>
        </w:rPr>
        <w:t xml:space="preserve">Renewable Energy Usage (rvqfufxuqy):</w:t>
      </w:r>
      <w:r>
        <w:t xml:space="preserve"> </w:t>
      </w:r>
      <w:r>
        <w:t xml:space="preserve">Assumed at 75% for illustrative purposes, meaning 25% of electricity is sourced from the grid mix.</w:t>
      </w:r>
    </w:p>
    <w:p>
      <w:pPr>
        <w:numPr>
          <w:ilvl w:val="0"/>
          <w:numId w:val="1006"/>
        </w:numPr>
        <w:pStyle w:val="Compact"/>
      </w:pPr>
      <w:r>
        <w:rPr>
          <w:bCs/>
          <w:b/>
        </w:rPr>
        <w:t xml:space="preserve">Energy Intensity (kWh/unit, teixxyjyjf):</w:t>
      </w:r>
      <w:r>
        <w:t xml:space="preserve"> </w:t>
      </w:r>
      <w:r>
        <w:t xml:space="preserve">Assumed at 5.2 kWh/unit.</w:t>
      </w:r>
    </w:p>
    <w:p>
      <w:pPr>
        <w:numPr>
          <w:ilvl w:val="0"/>
          <w:numId w:val="1006"/>
        </w:numPr>
        <w:pStyle w:val="Compact"/>
      </w:pPr>
      <w:r>
        <w:rPr>
          <w:bCs/>
          <w:b/>
        </w:rPr>
        <w:t xml:space="preserve">Chinese Grid Electricity Emission Factor:</w:t>
      </w:r>
      <w:r>
        <w:t xml:space="preserve"> </w:t>
      </w:r>
      <w:r>
        <w:t xml:space="preserve">A representative factor of 0.57 kg CO2e/kWh is used for non-renewable electricity consumption in China.</w:t>
      </w:r>
    </w:p>
    <w:bookmarkEnd w:id="31"/>
    <w:bookmarkStart w:id="32" w:name="transport-logistics-data"/>
    <w:p>
      <w:pPr>
        <w:pStyle w:val="Heading3"/>
      </w:pPr>
      <w:r>
        <w:t xml:space="preserve">2.3 Transport Logistics Data</w:t>
      </w:r>
    </w:p>
    <w:p>
      <w:pPr>
        <w:pStyle w:val="FirstParagraph"/>
      </w:pPr>
      <w:r>
        <w:t xml:space="preserve">Transportation of raw materials and finished goods significantly impacts the supply chain footprint. For illustrative purposes, the following assumptions are made for the generic input strings:</w:t>
      </w:r>
    </w:p>
    <w:p>
      <w:pPr>
        <w:numPr>
          <w:ilvl w:val="0"/>
          <w:numId w:val="1007"/>
        </w:numPr>
        <w:pStyle w:val="Compact"/>
      </w:pPr>
      <w:r>
        <w:rPr>
          <w:bCs/>
          <w:b/>
        </w:rPr>
        <w:t xml:space="preserve">Primary Transport Mode (Select Mode):</w:t>
      </w:r>
      <w:r>
        <w:t xml:space="preserve"> </w:t>
      </w:r>
      <w:r>
        <w:t xml:space="preserve">Assumed to be "Road Freight (Heavy Goods Vehicle)".</w:t>
      </w:r>
    </w:p>
    <w:p>
      <w:pPr>
        <w:numPr>
          <w:ilvl w:val="0"/>
          <w:numId w:val="1007"/>
        </w:numPr>
        <w:pStyle w:val="Compact"/>
      </w:pPr>
      <w:r>
        <w:rPr>
          <w:bCs/>
          <w:b/>
        </w:rPr>
        <w:t xml:space="preserve">Transport Distance (fjrkgztrjx):</w:t>
      </w:r>
      <w:r>
        <w:t xml:space="preserve"> </w:t>
      </w:r>
      <w:r>
        <w:t xml:space="preserve">Assumed to be 1,500 km (reflecting a Europe-focused supply chain to China).</w:t>
      </w:r>
    </w:p>
    <w:p>
      <w:pPr>
        <w:numPr>
          <w:ilvl w:val="0"/>
          <w:numId w:val="1007"/>
        </w:numPr>
        <w:pStyle w:val="Compact"/>
      </w:pPr>
      <w:r>
        <w:rPr>
          <w:bCs/>
          <w:b/>
        </w:rPr>
        <w:t xml:space="preserve">Last-Mile Delivery Channel (Delivery Type):</w:t>
      </w:r>
      <w:r>
        <w:t xml:space="preserve"> </w:t>
      </w:r>
      <w:r>
        <w:t xml:space="preserve">Assumed to be "Small Parcel Courier (Van)".</w:t>
      </w:r>
    </w:p>
    <w:p>
      <w:pPr>
        <w:numPr>
          <w:ilvl w:val="0"/>
          <w:numId w:val="1007"/>
        </w:numPr>
        <w:pStyle w:val="Compact"/>
      </w:pPr>
      <w:r>
        <w:rPr>
          <w:bCs/>
          <w:b/>
        </w:rPr>
        <w:t xml:space="preserve">Road Freight Emission Factor (HGV):</w:t>
      </w:r>
      <w:r>
        <w:t xml:space="preserve"> </w:t>
      </w:r>
      <w:r>
        <w:t xml:space="preserve">0.1 kg CO2e/tonne-km.</w:t>
      </w:r>
    </w:p>
    <w:p>
      <w:pPr>
        <w:numPr>
          <w:ilvl w:val="0"/>
          <w:numId w:val="1007"/>
        </w:numPr>
        <w:pStyle w:val="Compact"/>
      </w:pPr>
      <w:r>
        <w:rPr>
          <w:bCs/>
          <w:b/>
        </w:rPr>
        <w:t xml:space="preserve">Last-Mile Delivery Van Emission Factor:</w:t>
      </w:r>
      <w:r>
        <w:t xml:space="preserve"> </w:t>
      </w:r>
      <w:r>
        <w:t xml:space="preserve">0.20 kg CO2e/km (illustrative, assuming the product unit is delivered individually by van).</w:t>
      </w:r>
    </w:p>
    <w:p>
      <w:pPr>
        <w:numPr>
          <w:ilvl w:val="0"/>
          <w:numId w:val="1007"/>
        </w:numPr>
        <w:pStyle w:val="Compact"/>
      </w:pPr>
      <w:r>
        <w:rPr>
          <w:bCs/>
          <w:b/>
        </w:rPr>
        <w:t xml:space="preserve">Assumed Product Weight for Transport:</w:t>
      </w:r>
      <w:r>
        <w:t xml:space="preserve"> </w:t>
      </w:r>
      <w:r>
        <w:t xml:space="preserve">1.0 kg (for tonne-km calculations).</w:t>
      </w:r>
    </w:p>
    <w:bookmarkEnd w:id="32"/>
    <w:bookmarkStart w:id="33" w:name="X1ba14a67a329254cce30ddbf9878601bb9c0fa0"/>
    <w:p>
      <w:pPr>
        <w:pStyle w:val="Heading3"/>
      </w:pPr>
      <w:r>
        <w:t xml:space="preserve">2.4 Use Phase Durability and Consumption Data</w:t>
      </w:r>
    </w:p>
    <w:p>
      <w:pPr>
        <w:pStyle w:val="FirstParagraph"/>
      </w:pPr>
      <w:r>
        <w:t xml:space="preserve">The use phase is included for a comprehensive lifecycle view, with specific data integrated:</w:t>
      </w:r>
    </w:p>
    <w:p>
      <w:pPr>
        <w:numPr>
          <w:ilvl w:val="0"/>
          <w:numId w:val="1008"/>
        </w:numPr>
        <w:pStyle w:val="Compact"/>
      </w:pPr>
      <w:r>
        <w:rPr>
          <w:bCs/>
          <w:b/>
        </w:rPr>
        <w:t xml:space="preserve">Product Lifespan (dtmwnwuxkl):</w:t>
      </w:r>
      <w:r>
        <w:t xml:space="preserve"> </w:t>
      </w:r>
      <w:r>
        <w:t xml:space="preserve">Assumed to be 5 years.</w:t>
      </w:r>
    </w:p>
    <w:p>
      <w:pPr>
        <w:numPr>
          <w:ilvl w:val="0"/>
          <w:numId w:val="1008"/>
        </w:numPr>
        <w:pStyle w:val="Compact"/>
      </w:pPr>
      <w:r>
        <w:rPr>
          <w:bCs/>
          <w:b/>
        </w:rPr>
        <w:t xml:space="preserve">Energy Consumption in Use (xonxekjdip):</w:t>
      </w:r>
      <w:r>
        <w:t xml:space="preserve"> </w:t>
      </w:r>
      <w:r>
        <w:t xml:space="preserve">Assumed to be 15 kWh/year.</w:t>
      </w:r>
    </w:p>
    <w:p>
      <w:pPr>
        <w:numPr>
          <w:ilvl w:val="0"/>
          <w:numId w:val="1008"/>
        </w:numPr>
        <w:pStyle w:val="Compact"/>
      </w:pPr>
      <w:r>
        <w:rPr>
          <w:bCs/>
          <w:b/>
        </w:rPr>
        <w:t xml:space="preserve">Electricity Emission Factor (User Location, Europe):</w:t>
      </w:r>
      <w:r>
        <w:t xml:space="preserve"> </w:t>
      </w:r>
      <w:r>
        <w:t xml:space="preserve">Assumed average European grid mix of 0.25 kg CO2e/kWh (illustrative for product use phase).</w:t>
      </w:r>
    </w:p>
    <w:bookmarkEnd w:id="33"/>
    <w:bookmarkStart w:id="34" w:name="end-of-life-eol-scenarios"/>
    <w:p>
      <w:pPr>
        <w:pStyle w:val="Heading3"/>
      </w:pPr>
      <w:r>
        <w:t xml:space="preserve">2.5 End-of-Life (EoL) Scenarios</w:t>
      </w:r>
    </w:p>
    <w:p>
      <w:pPr>
        <w:pStyle w:val="FirstParagraph"/>
      </w:pPr>
      <w:r>
        <w:t xml:space="preserve">End-of-Life management plays a crucial role in circularity and overall product impact.</w:t>
      </w:r>
    </w:p>
    <w:p>
      <w:pPr>
        <w:numPr>
          <w:ilvl w:val="0"/>
          <w:numId w:val="1009"/>
        </w:numPr>
        <w:pStyle w:val="Compact"/>
      </w:pPr>
      <w:r>
        <w:rPr>
          <w:bCs/>
          <w:b/>
        </w:rPr>
        <w:t xml:space="preserve">Recyclability Percentage (fdixosifyw):</w:t>
      </w:r>
      <w:r>
        <w:t xml:space="preserve"> </w:t>
      </w:r>
      <w:r>
        <w:t xml:space="preserve">Assumed to be 80%. This will result in a corresponding reduction in disposal emissions for the recyclable portion.</w:t>
      </w:r>
    </w:p>
    <w:p>
      <w:pPr>
        <w:numPr>
          <w:ilvl w:val="0"/>
          <w:numId w:val="1009"/>
        </w:numPr>
        <w:pStyle w:val="Compact"/>
      </w:pPr>
      <w:r>
        <w:rPr>
          <w:bCs/>
          <w:b/>
        </w:rPr>
        <w:t xml:space="preserve">Circular/Take-back Programs (yefvslvgfz):</w:t>
      </w:r>
      <w:r>
        <w:t xml:space="preserve"> </w:t>
      </w:r>
      <w:r>
        <w:t xml:space="preserve">Acknowledged as "Robust take-back and recycling programs" which actively manage the product\'s end-of-life, further reducing environmental impact.</w:t>
      </w:r>
    </w:p>
    <w:p>
      <w:pPr>
        <w:numPr>
          <w:ilvl w:val="0"/>
          <w:numId w:val="1009"/>
        </w:numPr>
        <w:pStyle w:val="Compact"/>
      </w:pPr>
      <w:r>
        <w:rPr>
          <w:bCs/>
          <w:b/>
        </w:rPr>
        <w:t xml:space="preserve">Disposal Emission Factor (Non-Recyclable Waste):</w:t>
      </w:r>
      <w:r>
        <w:t xml:space="preserve"> </w:t>
      </w:r>
      <w:r>
        <w:t xml:space="preserve">Assumed 0.5 kg CO2e/kg for landfill/incineration (illustrative).</w:t>
      </w:r>
    </w:p>
    <w:bookmarkEnd w:id="34"/>
    <w:bookmarkEnd w:id="35"/>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All calculations are performed in kilograms of CO2 equivalent (kg CO2e).</w:t>
      </w:r>
    </w:p>
    <w:bookmarkStart w:id="36" w:name="scope-1-emissions-direct-emissions"/>
    <w:p>
      <w:pPr>
        <w:pStyle w:val="Heading3"/>
      </w:pPr>
      <w:r>
        <w:t xml:space="preserve">4.1 Scope 1 Emissions (Direct Emissions)</w:t>
      </w:r>
    </w:p>
    <w:p>
      <w:pPr>
        <w:pStyle w:val="FirstParagraph"/>
      </w:pPr>
      <w:r>
        <w:t xml:space="preserve">For a "factory_gate" boundary focused on purchased energy and upstream activities, direct (Scope 1) emissions from owned or controlled sources (e.g., on-site fuel combustion) are not explicitly provided in the parameters. Therefore, for this PCF, Scope 1 emissions are considered negligible or not applicable based on the available data, assuming electricity is the primary energy source and any direct fuel combustion is outside the product\'s direct manufacturing process or de minimis.</w:t>
      </w:r>
    </w:p>
    <w:p>
      <w:pPr>
        <w:pStyle w:val="BodyText"/>
      </w:pPr>
      <w:r>
        <w:rPr>
          <w:bCs/>
          <w:b/>
        </w:rPr>
        <w:t xml:space="preserve">Total Scope 1 Emissions:</w:t>
      </w:r>
      <w:r>
        <w:t xml:space="preserve"> </w:t>
      </w:r>
      <w:r>
        <w:t xml:space="preserve">0.00 kg CO2e</w:t>
      </w:r>
    </w:p>
    <w:bookmarkEnd w:id="36"/>
    <w:bookmarkStart w:id="37" w:name="scope-2-emissions-purchased-energy"/>
    <w:p>
      <w:pPr>
        <w:pStyle w:val="Heading3"/>
      </w:pPr>
      <w:r>
        <w:t xml:space="preserve">4.2 Scope 2 Emissions (Purchased Energy)</w:t>
      </w:r>
    </w:p>
    <w:p>
      <w:pPr>
        <w:pStyle w:val="FirstParagraph"/>
      </w:pPr>
      <w:r>
        <w:t xml:space="preserve">Scope 2 emissions account for GHG emissions from the generation of purchased electricity consumed by duyywqkoqt\'s manufacturing operations for frndtdrvqe in China.</w:t>
      </w:r>
    </w:p>
    <w:p>
      <w:pPr>
        <w:numPr>
          <w:ilvl w:val="0"/>
          <w:numId w:val="1010"/>
        </w:numPr>
        <w:pStyle w:val="Compact"/>
      </w:pPr>
      <w:r>
        <w:t xml:space="preserve">Energy Intensity (teixxyjyjf): 5.2 kWh/unit (Assumed)</w:t>
      </w:r>
    </w:p>
    <w:p>
      <w:pPr>
        <w:numPr>
          <w:ilvl w:val="0"/>
          <w:numId w:val="1010"/>
        </w:numPr>
        <w:pStyle w:val="Compact"/>
      </w:pPr>
      <w:r>
        <w:t xml:space="preserve">Renewable Energy Usage (rvqfufxuqy): 75% (Assumed)</w:t>
      </w:r>
    </w:p>
    <w:p>
      <w:pPr>
        <w:numPr>
          <w:ilvl w:val="0"/>
          <w:numId w:val="1010"/>
        </w:numPr>
        <w:pStyle w:val="Compact"/>
      </w:pPr>
      <w:r>
        <w:t xml:space="preserve">Non-Renewable Electricity Usage: 100% - 75% = 25%</w:t>
      </w:r>
    </w:p>
    <w:p>
      <w:pPr>
        <w:numPr>
          <w:ilvl w:val="0"/>
          <w:numId w:val="1010"/>
        </w:numPr>
        <w:pStyle w:val="Compact"/>
      </w:pPr>
      <w:r>
        <w:t xml:space="preserve">Non-Renewable Energy (kWh/unit): 5.2 kWh/unit * 25% = 1.3 kWh/unit</w:t>
      </w:r>
    </w:p>
    <w:p>
      <w:pPr>
        <w:numPr>
          <w:ilvl w:val="0"/>
          <w:numId w:val="1010"/>
        </w:numPr>
        <w:pStyle w:val="Compact"/>
      </w:pPr>
      <w:r>
        <w:t xml:space="preserve">Chinese Grid Electricity Emission Factor: 0.57 kg CO2e/kWh</w:t>
      </w:r>
    </w:p>
    <w:p>
      <w:pPr>
        <w:pStyle w:val="FirstParagraph"/>
      </w:pPr>
      <w:r>
        <w:rPr>
          <w:bCs/>
          <w:b/>
        </w:rPr>
        <w:t xml:space="preserve">Calculation:</w:t>
      </w:r>
      <w:r>
        <w:t xml:space="preserve"> </w:t>
      </w:r>
      <w:r>
        <w:t xml:space="preserve">1.3 kWh/unit * 0.57 kg CO2e/kWh = 0.74 kg CO2e/unit</w:t>
      </w:r>
    </w:p>
    <w:p>
      <w:pPr>
        <w:pStyle w:val="BodyText"/>
      </w:pPr>
      <w:r>
        <w:rPr>
          <w:bCs/>
          <w:b/>
        </w:rPr>
        <w:t xml:space="preserve">Total Scope 2 Emissions:</w:t>
      </w:r>
      <w:r>
        <w:t xml:space="preserve"> </w:t>
      </w:r>
      <w:r>
        <w:t xml:space="preserve">0.74 kg CO2e</w:t>
      </w:r>
    </w:p>
    <w:bookmarkEnd w:id="37"/>
    <w:bookmarkStart w:id="45" w:name="scope-3-emissions-value-chain-emissions"/>
    <w:p>
      <w:pPr>
        <w:pStyle w:val="Heading3"/>
      </w:pPr>
      <w:r>
        <w:t xml:space="preserve">4.3 Scope 3 Emissions (Value Chain Emissions)</w:t>
      </w:r>
    </w:p>
    <w:p>
      <w:pPr>
        <w:pStyle w:val="FirstParagraph"/>
      </w:pPr>
      <w:r>
        <w:t xml:space="preserve">Scope 3 emissions are the most comprehensive, covering all indirect emissions not included in Scope 1 or 2. This analysis focuses on ensuring at least 95% coverage as per 2026 requirements, incorporating material production, transportation, use phase, and end-of-life treatment.</w:t>
      </w:r>
    </w:p>
    <w:bookmarkStart w:id="38" w:name="Xe9364ecfb033bbfa79f9e21fb5cacea065e12a4"/>
    <w:p>
      <w:pPr>
        <w:pStyle w:val="Heading4"/>
      </w:pPr>
      <w:r>
        <w:t xml:space="preserve">4.3.1 Category 1: Purchased Goods and Services (Material Impact)</w:t>
      </w:r>
    </w:p>
    <w:p>
      <w:pPr>
        <w:pStyle w:val="FirstParagraph"/>
      </w:pPr>
      <w:r>
        <w:t xml:space="preserve">Emissions from the extraction, production, and processing of raw materials as per the illustrative BOM.</w:t>
      </w:r>
    </w:p>
    <w:p>
      <w:pPr>
        <w:pStyle w:val="BodyText"/>
      </w:pPr>
      <w:r>
        <w:rPr>
          <w:bCs/>
          <w:b/>
        </w:rPr>
        <w:t xml:space="preserve">Total Carbon from Illustrative BOM:</w:t>
      </w:r>
      <w:r>
        <w:t xml:space="preserve"> </w:t>
      </w:r>
      <w:r>
        <w:t xml:space="preserve">6.20 kg CO2e</w:t>
      </w:r>
    </w:p>
    <w:p>
      <w:pPr>
        <w:pStyle w:val="BodyText"/>
      </w:pPr>
      <w:r>
        <w:rPr>
          <w:bCs/>
          <w:b/>
        </w:rPr>
        <w:t xml:space="preserve">Scope 3, Category 1 Emissions:</w:t>
      </w:r>
      <w:r>
        <w:t xml:space="preserve"> </w:t>
      </w:r>
      <w:r>
        <w:t xml:space="preserve">6.20 kg 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factory. Assuming an average weight of 1.0 kg per unit of frndtdrvqe for these calculations.</w:t>
      </w:r>
    </w:p>
    <w:p>
      <w:pPr>
        <w:numPr>
          <w:ilvl w:val="0"/>
          <w:numId w:val="1011"/>
        </w:numPr>
        <w:pStyle w:val="Compact"/>
      </w:pPr>
      <w:r>
        <w:t xml:space="preserve">Primary Transport Mode: Road Freight (HGV)</w:t>
      </w:r>
    </w:p>
    <w:p>
      <w:pPr>
        <w:numPr>
          <w:ilvl w:val="0"/>
          <w:numId w:val="1011"/>
        </w:numPr>
        <w:pStyle w:val="Compact"/>
      </w:pPr>
      <w:r>
        <w:t xml:space="preserve">Transport Distance (fjrkgztrjx): 1,500 km (Assumed)</w:t>
      </w:r>
    </w:p>
    <w:p>
      <w:pPr>
        <w:numPr>
          <w:ilvl w:val="0"/>
          <w:numId w:val="1011"/>
        </w:numPr>
        <w:pStyle w:val="Compact"/>
      </w:pPr>
      <w:r>
        <w:t xml:space="preserve">Assumed Product Weight: 1.0 kg</w:t>
      </w:r>
    </w:p>
    <w:p>
      <w:pPr>
        <w:numPr>
          <w:ilvl w:val="0"/>
          <w:numId w:val="1011"/>
        </w:numPr>
        <w:pStyle w:val="Compact"/>
      </w:pPr>
      <w:r>
        <w:t xml:space="preserve">Road Freight Emission Factor: 0.1 kg CO2e/tonne-km</w:t>
      </w:r>
    </w:p>
    <w:p>
      <w:pPr>
        <w:pStyle w:val="FirstParagraph"/>
      </w:pPr>
      <w:r>
        <w:rPr>
          <w:bCs/>
          <w:b/>
        </w:rPr>
        <w:t xml:space="preserve">Calculation:</w:t>
      </w:r>
      <w:r>
        <w:t xml:space="preserve"> </w:t>
      </w:r>
      <w:r>
        <w:t xml:space="preserve">(1.0 kg / 1000 kg/tonne) * 1,500 km * 0.1 kg CO2e/tonne-km = 0.15 kg CO2e/unit</w:t>
      </w:r>
    </w:p>
    <w:p>
      <w:pPr>
        <w:pStyle w:val="BodyText"/>
      </w:pPr>
      <w:r>
        <w:rPr>
          <w:bCs/>
          <w:b/>
        </w:rPr>
        <w:t xml:space="preserve">Scope 3, Category 4 Emissions:</w:t>
      </w:r>
      <w:r>
        <w:t xml:space="preserve"> </w:t>
      </w:r>
      <w:r>
        <w:t xml:space="preserve">0.15 kg CO2e</w:t>
      </w:r>
    </w:p>
    <w:bookmarkEnd w:id="39"/>
    <w:bookmarkStart w:id="40"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customer.</w:t>
      </w:r>
    </w:p>
    <w:p>
      <w:pPr>
        <w:numPr>
          <w:ilvl w:val="0"/>
          <w:numId w:val="1012"/>
        </w:numPr>
        <w:pStyle w:val="Compact"/>
      </w:pPr>
      <w:r>
        <w:t xml:space="preserve">Last-Mile Delivery Channel: Small Parcel Courier (Van)</w:t>
      </w:r>
    </w:p>
    <w:p>
      <w:pPr>
        <w:numPr>
          <w:ilvl w:val="0"/>
          <w:numId w:val="1012"/>
        </w:numPr>
        <w:pStyle w:val="Compact"/>
      </w:pPr>
      <w:r>
        <w:t xml:space="preserve">Assumed Last-Mile Distance: 50 km (illustrative)</w:t>
      </w:r>
    </w:p>
    <w:p>
      <w:pPr>
        <w:numPr>
          <w:ilvl w:val="0"/>
          <w:numId w:val="1012"/>
        </w:numPr>
        <w:pStyle w:val="Compact"/>
      </w:pPr>
      <w:r>
        <w:t xml:space="preserve">Last-Mile Delivery Van Emission Factor: 0.20 kg CO2e/km</w:t>
      </w:r>
    </w:p>
    <w:p>
      <w:pPr>
        <w:pStyle w:val="FirstParagraph"/>
      </w:pPr>
      <w:r>
        <w:rPr>
          <w:bCs/>
          <w:b/>
        </w:rPr>
        <w:t xml:space="preserve">Calculation:</w:t>
      </w:r>
      <w:r>
        <w:t xml:space="preserve"> </w:t>
      </w:r>
      <w:r>
        <w:t xml:space="preserve">50 km * 0.20 kg CO2e/km = 10.00 kg CO2e/unit</w:t>
      </w:r>
    </w:p>
    <w:p>
      <w:pPr>
        <w:pStyle w:val="BodyText"/>
      </w:pPr>
      <w:r>
        <w:rPr>
          <w:bCs/>
          <w:b/>
        </w:rPr>
        <w:t xml:space="preserve">Scope 3, Category 9 Emissions:</w:t>
      </w:r>
      <w:r>
        <w:t xml:space="preserve"> </w:t>
      </w:r>
      <w:r>
        <w:t xml:space="preserve">10.00 kg CO2e</w:t>
      </w:r>
    </w:p>
    <w:bookmarkEnd w:id="40"/>
    <w:bookmarkStart w:id="41" w:name="category-11-use-of-sold-products"/>
    <w:p>
      <w:pPr>
        <w:pStyle w:val="Heading4"/>
      </w:pPr>
      <w:r>
        <w:t xml:space="preserve">4.3.4 Category 11: Use of Sold Products</w:t>
      </w:r>
    </w:p>
    <w:p>
      <w:pPr>
        <w:pStyle w:val="FirstParagraph"/>
      </w:pPr>
      <w:r>
        <w:t xml:space="preserve">Emissions from the energy consumed during the product\'s lifespan.</w:t>
      </w:r>
    </w:p>
    <w:p>
      <w:pPr>
        <w:numPr>
          <w:ilvl w:val="0"/>
          <w:numId w:val="1013"/>
        </w:numPr>
        <w:pStyle w:val="Compact"/>
      </w:pPr>
      <w:r>
        <w:t xml:space="preserve">Product Lifespan (dtmwnwuxkl): 5 years (Assumed)</w:t>
      </w:r>
    </w:p>
    <w:p>
      <w:pPr>
        <w:numPr>
          <w:ilvl w:val="0"/>
          <w:numId w:val="1013"/>
        </w:numPr>
        <w:pStyle w:val="Compact"/>
      </w:pPr>
      <w:r>
        <w:t xml:space="preserve">Energy Consumption in Use (xonxekjdip): 15 kWh/year (Assumed)</w:t>
      </w:r>
    </w:p>
    <w:p>
      <w:pPr>
        <w:numPr>
          <w:ilvl w:val="0"/>
          <w:numId w:val="1013"/>
        </w:numPr>
        <w:pStyle w:val="Compact"/>
      </w:pPr>
      <w:r>
        <w:t xml:space="preserve">Electricity Emission Factor (User Location, Europe): 0.25 kg CO2e/kWh (Assumed illustrative)</w:t>
      </w:r>
    </w:p>
    <w:p>
      <w:pPr>
        <w:pStyle w:val="FirstParagraph"/>
      </w:pPr>
      <w:r>
        <w:rPr>
          <w:bCs/>
          <w:b/>
        </w:rPr>
        <w:t xml:space="preserve">Calculation:</w:t>
      </w:r>
      <w:r>
        <w:t xml:space="preserve"> </w:t>
      </w:r>
      <w:r>
        <w:t xml:space="preserve">5 years * 15 kWh/year * 0.25 kg CO2e/kWh = 18.75 kg CO2e/unit</w:t>
      </w:r>
    </w:p>
    <w:p>
      <w:pPr>
        <w:pStyle w:val="BodyText"/>
      </w:pPr>
      <w:r>
        <w:rPr>
          <w:bCs/>
          <w:b/>
        </w:rPr>
        <w:t xml:space="preserve">Scope 3, Category 11 Emissions:</w:t>
      </w:r>
      <w:r>
        <w:t xml:space="preserve"> </w:t>
      </w:r>
      <w:r>
        <w:t xml:space="preserve">18.75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(or avoided emissions) from the disposal or recycling of the product at its end-of-life. Assuming the total weight of the product is 1.0 kg based on the BOM. The recyclability percentage reduces the amount going to disposal.</w:t>
      </w:r>
    </w:p>
    <w:p>
      <w:pPr>
        <w:numPr>
          <w:ilvl w:val="0"/>
          <w:numId w:val="1014"/>
        </w:numPr>
        <w:pStyle w:val="Compact"/>
      </w:pPr>
      <w:r>
        <w:t xml:space="preserve">Assumed Product Weight: 1.0 kg</w:t>
      </w:r>
    </w:p>
    <w:p>
      <w:pPr>
        <w:numPr>
          <w:ilvl w:val="0"/>
          <w:numId w:val="1014"/>
        </w:numPr>
        <w:pStyle w:val="Compact"/>
      </w:pPr>
      <w:r>
        <w:t xml:space="preserve">Recyclability Percentage (fdixosifyw): 80% (Assumed)</w:t>
      </w:r>
    </w:p>
    <w:p>
      <w:pPr>
        <w:numPr>
          <w:ilvl w:val="0"/>
          <w:numId w:val="1014"/>
        </w:numPr>
        <w:pStyle w:val="Compact"/>
      </w:pPr>
      <w:r>
        <w:t xml:space="preserve">Non-Recyclable Portion: 100% - 80% = 20%</w:t>
      </w:r>
    </w:p>
    <w:p>
      <w:pPr>
        <w:numPr>
          <w:ilvl w:val="0"/>
          <w:numId w:val="1014"/>
        </w:numPr>
        <w:pStyle w:val="Compact"/>
      </w:pPr>
      <w:r>
        <w:t xml:space="preserve">Weight for Disposal: 1.0 kg * 20% = 0.2 kg</w:t>
      </w:r>
    </w:p>
    <w:p>
      <w:pPr>
        <w:numPr>
          <w:ilvl w:val="0"/>
          <w:numId w:val="1014"/>
        </w:numPr>
        <w:pStyle w:val="Compact"/>
      </w:pPr>
      <w:r>
        <w:t xml:space="preserve">Disposal Emission Factor: 0.5 kg CO2e/kg (Assumed illustrative)</w:t>
      </w:r>
    </w:p>
    <w:p>
      <w:pPr>
        <w:pStyle w:val="FirstParagraph"/>
      </w:pPr>
      <w:r>
        <w:rPr>
          <w:bCs/>
          <w:b/>
        </w:rPr>
        <w:t xml:space="preserve">Calculation:</w:t>
      </w:r>
      <w:r>
        <w:t xml:space="preserve"> </w:t>
      </w:r>
      <w:r>
        <w:t xml:space="preserve">0.2 kg * 0.5 kg CO2e/kg = 0.10 kg CO2e/unit</w:t>
      </w:r>
    </w:p>
    <w:p>
      <w:pPr>
        <w:pStyle w:val="BodyText"/>
      </w:pPr>
      <w:r>
        <w:rPr>
          <w:bCs/>
          <w:b/>
        </w:rPr>
        <w:t xml:space="preserve">Circular/Take-back Programs (yefvslvgfz):</w:t>
      </w:r>
      <w:r>
        <w:t xml:space="preserve"> </w:t>
      </w:r>
      <w:r>
        <w:t xml:space="preserve">The presence of "Robust take-back and recycling programs" enhances the effective recyclability and ensures proper end-of-life management, further contributing to reducing overall lifecycle emissions, though not directly quantifiable with the provided parameters for net impact beyond the recyclability percentage. These programs are crucial for closing the loop and achieving circular economy objectives.</w:t>
      </w:r>
    </w:p>
    <w:p>
      <w:pPr>
        <w:pStyle w:val="BodyText"/>
      </w:pPr>
      <w:r>
        <w:rPr>
          <w:bCs/>
          <w:b/>
        </w:rPr>
        <w:t xml:space="preserve">Scope 3, Category 12 Emissions:</w:t>
      </w:r>
      <w:r>
        <w:t xml:space="preserve"> </w:t>
      </w:r>
      <w:r>
        <w:t xml:space="preserve">0.10 kg CO2e</w:t>
      </w:r>
    </w:p>
    <w:bookmarkEnd w:id="42"/>
    <w:bookmarkStart w:id="43" w:name="X7ef73fe3d39a8d84fae696b42f814aa0d860ec0"/>
    <w:p>
      <w:pPr>
        <w:pStyle w:val="Heading4"/>
      </w:pPr>
      <w:r>
        <w:t xml:space="preserve">4.3.6 2026 LSR Update: Land Sector and Removals Standard</w:t>
      </w:r>
    </w:p>
    <w:p>
      <w:pPr>
        <w:pStyle w:val="FirstParagraph"/>
      </w:pPr>
      <w:r>
        <w:t xml:space="preserve">The Land Sector and Removals (LSR) Standard requires accounting for GHG emissions and removals from land use and land use change. For this specific product PCF, direct land use change associated with the raw material sourcing or manufacturing of frndtdrvqe was not quantifiable from the provided parameters. However, in a full corporate GHG inventory, this standard would necessitate assessing land-related impacts within the supply chain, such as deforestation for specific agricultural commodities or biomass, and any carbon sequestration activities. For this product, its application is acknowledged, and it is noted that specific data would be required for a detailed LSR assessment.</w:t>
      </w:r>
    </w:p>
    <w:p>
      <w:pPr>
        <w:pStyle w:val="BodyText"/>
      </w:pPr>
      <w:r>
        <w:rPr>
          <w:bCs/>
          <w:b/>
        </w:rPr>
        <w:t xml:space="preserve">LSR Impact:</w:t>
      </w:r>
      <w:r>
        <w:t xml:space="preserve"> </w:t>
      </w:r>
      <w:r>
        <w:t xml:space="preserve">Not quantifiable with current product-specific data.</w:t>
      </w:r>
    </w:p>
    <w:bookmarkEnd w:id="43"/>
    <w:bookmarkStart w:id="44" w:name="scope-3-coverage-compliance"/>
    <w:p>
      <w:pPr>
        <w:pStyle w:val="Heading4"/>
      </w:pPr>
      <w:r>
        <w:t xml:space="preserve">4.3.7 Scope 3 Coverage Compliance</w:t>
      </w:r>
    </w:p>
    <w:p>
      <w:pPr>
        <w:pStyle w:val="FirstParagraph"/>
      </w:pPr>
      <w:r>
        <w:t xml:space="preserve">By including Purchased Goods and Services, Upstream Transportation, Downstream Transportation, Use of Sold Products, and End-of-Life Treatment, the analysis strives for comprehensive Scope 3 coverage. These categories typically represent the majority of value chain emissions, aligning with the 95% coverage requirement for 2026 reporting.</w:t>
      </w:r>
    </w:p>
    <w:bookmarkEnd w:id="44"/>
    <w:bookmarkEnd w:id="45"/>
    <w:bookmarkEnd w:id="46"/>
    <w:p>
      <w:r>
        <w:pict>
          <v:rect style="width:0;height:1.5pt" o:hralign="center" o:hrstd="t" o:hr="t"/>
        </w:pict>
      </w:r>
    </w:p>
    <w:bookmarkStart w:id="49" w:name="total-product-carbon-footprint-breakdown"/>
    <w:p>
      <w:pPr>
        <w:pStyle w:val="Heading2"/>
      </w:pPr>
      <w:r>
        <w:t xml:space="preserve">5. Total Product Carbon Footprint &amp; Breakdown</w:t>
      </w:r>
    </w:p>
    <w:bookmarkStart w:id="47"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Energy (Electricity for Manufacturing)</w:t>
            </w:r>
          </w:p>
        </w:tc>
        <w:tc>
          <w:tcPr/>
          <w:p>
            <w:pPr>
              <w:pStyle w:val="Compact"/>
              <w:jc w:val="left"/>
            </w:pPr>
            <w:r>
              <w:t xml:space="preserve">0.74</w:t>
            </w:r>
          </w:p>
        </w:tc>
        <w:tc>
          <w:tcPr/>
          <w:p>
            <w:pPr>
              <w:pStyle w:val="Compact"/>
              <w:jc w:val="left"/>
            </w:pPr>
            <w:r>
              <w:t xml:space="preserve">1.9%</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6.20</w:t>
            </w:r>
          </w:p>
        </w:tc>
        <w:tc>
          <w:tcPr/>
          <w:p>
            <w:pPr>
              <w:pStyle w:val="Compact"/>
              <w:jc w:val="left"/>
            </w:pPr>
            <w:r>
              <w:t xml:space="preserve">15.8%</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0.15</w:t>
            </w:r>
          </w:p>
        </w:tc>
        <w:tc>
          <w:tcPr/>
          <w:p>
            <w:pPr>
              <w:pStyle w:val="Compact"/>
              <w:jc w:val="left"/>
            </w:pPr>
            <w:r>
              <w:t xml:space="preserve">0.4%</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10.00</w:t>
            </w:r>
          </w:p>
        </w:tc>
        <w:tc>
          <w:tcPr/>
          <w:p>
            <w:pPr>
              <w:pStyle w:val="Compact"/>
              <w:jc w:val="left"/>
            </w:pPr>
            <w:r>
              <w:t xml:space="preserve">25.5%</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18.75</w:t>
            </w:r>
          </w:p>
        </w:tc>
        <w:tc>
          <w:tcPr/>
          <w:p>
            <w:pPr>
              <w:pStyle w:val="Compact"/>
              <w:jc w:val="left"/>
            </w:pPr>
            <w:r>
              <w:t xml:space="preserve">47.8%</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0.10</w:t>
            </w:r>
          </w:p>
        </w:tc>
        <w:tc>
          <w:tcPr/>
          <w:p>
            <w:pPr>
              <w:pStyle w:val="Compact"/>
              <w:jc w:val="left"/>
            </w:pPr>
            <w:r>
              <w:t xml:space="preserve">0.3%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35.94</w:t>
            </w:r>
          </w:p>
        </w:tc>
        <w:tc>
          <w:tcPr/>
          <w:p>
            <w:pPr>
              <w:pStyle w:val="Compact"/>
              <w:jc w:val="left"/>
            </w:pPr>
            <w:r>
              <w:rPr>
                <w:bCs/>
                <w:b/>
              </w:rPr>
              <w:t xml:space="preserve">100.0%</w:t>
            </w:r>
          </w:p>
        </w:tc>
      </w:tr>
    </w:tbl>
    <w:bookmarkEnd w:id="47"/>
    <w:bookmarkStart w:id="48" w:name="hotspots-and-reliability"/>
    <w:p>
      <w:pPr>
        <w:pStyle w:val="Heading3"/>
      </w:pPr>
      <w:r>
        <w:t xml:space="preserve">5.2 Hotspots and Reliability</w:t>
      </w:r>
    </w:p>
    <w:p>
      <w:pPr>
        <w:pStyle w:val="FirstParagraph"/>
      </w:pPr>
      <w:r>
        <w:t xml:space="preserve">The analysis reveals several emission hotspots:</w:t>
      </w:r>
    </w:p>
    <w:p>
      <w:pPr>
        <w:numPr>
          <w:ilvl w:val="0"/>
          <w:numId w:val="1015"/>
        </w:numPr>
        <w:pStyle w:val="Compact"/>
      </w:pPr>
      <w:r>
        <w:rPr>
          <w:bCs/>
          <w:b/>
        </w:rPr>
        <w:t xml:space="preserve">Use of Sold Products (Category 11):</w:t>
      </w:r>
      <w:r>
        <w:t xml:space="preserve"> </w:t>
      </w:r>
      <w:r>
        <w:t xml:space="preserve">This category represents the largest portion of the PCF (47.8%), primarily due to the energy consumption over the product\'s lifespan. Efforts to improve energy efficiency during the use phase or encourage renewable energy adoption by end-users would significantly reduce this impact.</w:t>
      </w:r>
    </w:p>
    <w:p>
      <w:pPr>
        <w:numPr>
          <w:ilvl w:val="0"/>
          <w:numId w:val="1015"/>
        </w:numPr>
        <w:pStyle w:val="Compact"/>
      </w:pPr>
      <w:r>
        <w:rPr>
          <w:bCs/>
          <w:b/>
        </w:rPr>
        <w:t xml:space="preserve">Downstream Transportation (Category 9):</w:t>
      </w:r>
      <w:r>
        <w:t xml:space="preserve"> </w:t>
      </w:r>
      <w:r>
        <w:t xml:space="preserve">Last-mile delivery contributes a substantial 25.5% to the total PCF, highlighting the impact of distribution networks and vehicle efficiency for final delivery.</w:t>
      </w:r>
    </w:p>
    <w:p>
      <w:pPr>
        <w:numPr>
          <w:ilvl w:val="0"/>
          <w:numId w:val="1015"/>
        </w:numPr>
        <w:pStyle w:val="Compact"/>
      </w:pPr>
      <w:r>
        <w:rPr>
          <w:bCs/>
          <w:b/>
        </w:rPr>
        <w:t xml:space="preserve">Purchased Goods and Services (Category 1):</w:t>
      </w:r>
      <w:r>
        <w:t xml:space="preserve"> </w:t>
      </w:r>
      <w:r>
        <w:t xml:space="preserve">Material acquisition and production account for 15.8% of emissions, indicating the importance of sustainable material sourcing and design choices.</w:t>
      </w:r>
    </w:p>
    <w:p>
      <w:pPr>
        <w:pStyle w:val="FirstParagraph"/>
      </w:pPr>
      <w:r>
        <w:t xml:space="preserve">The reliability of this report is directly tied to the quality of input data. While industry-standard emission factors were utilized, the use of illustrative values for generic parameters introduces an element of uncertainty. For future assessments, primary data from suppliers, specific transport logs, and actual energy consumption profiles would enhance accuracy.</w:t>
      </w:r>
    </w:p>
    <w:bookmarkEnd w:id="48"/>
    <w:bookmarkEnd w:id="49"/>
    <w:p>
      <w:r>
        <w:pict>
          <v:rect style="width:0;height:1.5pt" o:hralign="center" o:hrstd="t" o:hr="t"/>
        </w:pict>
      </w:r>
    </w:p>
    <w:bookmarkStart w:id="50" w:name="conclusion-and-recommendations"/>
    <w:p>
      <w:pPr>
        <w:pStyle w:val="Heading2"/>
      </w:pPr>
      <w:r>
        <w:t xml:space="preserve">6. Conclusion and Recommendations</w:t>
      </w:r>
    </w:p>
    <w:p>
      <w:pPr>
        <w:pStyle w:val="FirstParagraph"/>
      </w:pPr>
      <w:r>
        <w:t xml:space="preserve">The Product Carbon Footprint for one unit of frndtdrvqe is estimated at</w:t>
      </w:r>
      <w:r>
        <w:t xml:space="preserve"> </w:t>
      </w:r>
      <w:r>
        <w:rPr>
          <w:bCs/>
          <w:b/>
        </w:rPr>
        <w:t xml:space="preserve">35.94 kg CO2e</w:t>
      </w:r>
      <w:r>
        <w:t xml:space="preserve"> </w:t>
      </w:r>
      <w:r>
        <w:t xml:space="preserve">based on the "factory_gate" boundary for Scope 1 &amp; 2, and including selected Scope 3 categories for a comprehensive lifecycle view.</w:t>
      </w:r>
    </w:p>
    <w:p>
      <w:pPr>
        <w:pStyle w:val="BodyText"/>
      </w:pPr>
      <w:r>
        <w:t xml:space="preserve">To reduce the environmental impact of frndtdrvqe, duyywqkoqt should focus on:</w:t>
      </w:r>
    </w:p>
    <w:p>
      <w:pPr>
        <w:numPr>
          <w:ilvl w:val="0"/>
          <w:numId w:val="1016"/>
        </w:numPr>
        <w:pStyle w:val="Compact"/>
      </w:pPr>
      <w:r>
        <w:rPr>
          <w:bCs/>
          <w:b/>
        </w:rPr>
        <w:t xml:space="preserve">Energy Efficiency in Use:</w:t>
      </w:r>
      <w:r>
        <w:t xml:space="preserve"> </w:t>
      </w:r>
      <w:r>
        <w:t xml:space="preserve">Invest in R&amp;D to minimize the product\'s energy consumption during its lifespan.</w:t>
      </w:r>
    </w:p>
    <w:p>
      <w:pPr>
        <w:numPr>
          <w:ilvl w:val="0"/>
          <w:numId w:val="1016"/>
        </w:numPr>
        <w:pStyle w:val="Compact"/>
      </w:pPr>
      <w:r>
        <w:rPr>
          <w:bCs/>
          <w:b/>
        </w:rPr>
        <w:t xml:space="preserve">Sustainable Logistics:</w:t>
      </w:r>
      <w:r>
        <w:t xml:space="preserve"> </w:t>
      </w:r>
      <w:r>
        <w:t xml:space="preserve">Optimize transportation routes, explore lower-emission transport modes for both upstream and downstream logistics, and collaborate with logistics partners on fleet electrification.</w:t>
      </w:r>
    </w:p>
    <w:p>
      <w:pPr>
        <w:numPr>
          <w:ilvl w:val="0"/>
          <w:numId w:val="1016"/>
        </w:numPr>
        <w:pStyle w:val="Compact"/>
      </w:pPr>
      <w:r>
        <w:rPr>
          <w:bCs/>
          <w:b/>
        </w:rPr>
        <w:t xml:space="preserve">Material Circularity:</w:t>
      </w:r>
      <w:r>
        <w:t xml:space="preserve"> </w:t>
      </w:r>
      <w:r>
        <w:t xml:space="preserve">Continue to enhance the recyclability of the product and expand take-back programs (yefvslvgfz) to maximize resource recovery and minimize waste. Engage with suppliers to source lower-carbon materials and promote eco-design principles.</w:t>
      </w:r>
    </w:p>
    <w:p>
      <w:pPr>
        <w:numPr>
          <w:ilvl w:val="0"/>
          <w:numId w:val="1016"/>
        </w:numPr>
        <w:pStyle w:val="Compact"/>
      </w:pPr>
      <w:r>
        <w:rPr>
          <w:bCs/>
          <w:b/>
        </w:rPr>
        <w:t xml:space="preserve">Renewable Energy Integration:</w:t>
      </w:r>
      <w:r>
        <w:t xml:space="preserve"> </w:t>
      </w:r>
      <w:r>
        <w:t xml:space="preserve">Increase the percentage of renewable energy (rvqfufxuqy) used in manufacturing operations beyond the assumed 75% to further reduce Scope 2 emissions.</w:t>
      </w:r>
    </w:p>
    <w:p>
      <w:pPr>
        <w:numPr>
          <w:ilvl w:val="0"/>
          <w:numId w:val="1016"/>
        </w:numPr>
        <w:pStyle w:val="Compact"/>
      </w:pPr>
      <w:r>
        <w:rPr>
          <w:bCs/>
          <w:b/>
        </w:rPr>
        <w:t xml:space="preserve">Data Collection Improvement:</w:t>
      </w:r>
      <w:r>
        <w:t xml:space="preserve"> </w:t>
      </w:r>
      <w:r>
        <w:t xml:space="preserve">Systematically collect more granular primary data across the supply chain to refine future PCF assessments and identify further reduction opportunities.</w:t>
      </w:r>
    </w:p>
    <w:bookmarkEnd w:id="5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frndtdrvqe</dc:title>
  <dc:creator/>
  <dc:description>Detailed Product Carbon Footprint (PCF) analysis report for frndtdrvqe, following GHG Protocol standards, for company duyywqkoqt by Senior Sustainability Consultant nzmimzgjpj.</dc:description>
  <dc:language>en</dc:language>
  <cp:keywords/>
  <dcterms:created xsi:type="dcterms:W3CDTF">2026-07-15T09:31:52Z</dcterms:created>
  <dcterms:modified xsi:type="dcterms:W3CDTF">2026-07-15T09:31:52Z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