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frfkmfmzew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frfkmfmzew</w:t>
      </w:r>
    </w:p>
    <w:p>
      <w:pPr>
        <w:pStyle w:val="BodyText"/>
      </w:pPr>
      <w:r>
        <w:t xml:space="preserve">Company: lpkpwhvrlh</w:t>
      </w:r>
    </w:p>
    <w:p>
      <w:pPr>
        <w:pStyle w:val="BodyText"/>
      </w:pPr>
      <w:r>
        <w:t xml:space="preserve">Accounting Standard: GHG Protocol</w:t>
      </w:r>
    </w:p>
    <w:p>
      <w:pPr>
        <w:pStyle w:val="BodyText"/>
      </w:pPr>
      <w:r>
        <w:t xml:space="preserve">Senior Sustainability Consultant: jhyolmljvt</w:t>
      </w:r>
    </w:p>
    <w:p>
      <w:pPr>
        <w:pStyle w:val="BodyText"/>
      </w:pPr>
      <w:r>
        <w:t xml:space="preserve">This report is generated based on available data and industry standards, providing an estimate of the product\'s carbon footprint.</w:t>
      </w:r>
    </w:p>
    <w:bookmarkEnd w:id="20"/>
    <w:p>
      <w:pPr>
        <w:pStyle w:val="BodyText"/>
      </w:pPr>
      <w:r>
        <w:t xml:space="preserve">Generated Date: May 26, 2026</w:t>
      </w:r>
    </w:p>
    <w:bookmarkStart w:id="41" w:name="X30d608e6cc2a1576158abeb9dd7c36d92ab5804"/>
    <w:p>
      <w:pPr>
        <w:pStyle w:val="Heading1"/>
      </w:pPr>
      <w:r>
        <w:t xml:space="preserve">Product Carbon Footprint Analysis Report: frfkmfmzew</w:t>
      </w:r>
    </w:p>
    <w:p>
      <w:pPr>
        <w:pStyle w:val="FirstParagraph"/>
      </w:pPr>
      <w:r>
        <w:rPr>
          <w:bCs/>
          <w:b/>
        </w:rPr>
        <w:t xml:space="preserve">Company Name:</w:t>
      </w:r>
      <w:r>
        <w:t xml:space="preserve"> </w:t>
      </w:r>
      <w:r>
        <w:t xml:space="preserve">lpkpwhvrlh</w:t>
      </w:r>
    </w:p>
    <w:p>
      <w:pPr>
        <w:pStyle w:val="BodyText"/>
      </w:pPr>
      <w:r>
        <w:rPr>
          <w:bCs/>
          <w:b/>
        </w:rPr>
        <w:t xml:space="preserve">Senior Sustainability Consultant:</w:t>
      </w:r>
      <w:r>
        <w:t xml:space="preserve"> </w:t>
      </w:r>
      <w:r>
        <w:t xml:space="preserve">jhyolmljvt</w:t>
      </w:r>
    </w:p>
    <w:p>
      <w:pPr>
        <w:pStyle w:val="BodyText"/>
      </w:pPr>
      <w:r>
        <w:t xml:space="preserve">This report presents a high-detail Product Carbon Footprint (PCF) analysis for the product frfkmfmzew, conducted in accordance with the Greenhouse Gas (GHG) Protocol. The analysis covers the product\'s lifecycle from raw material extraction to end-of-life, categorizing emissions into Scope 1, 2, and 3. Special attention has been given to the 2026 Land Sector and Removals (LSR) Standard update and ensuring comprehensive Scope 3 coverage, as per evolving requirements.</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(PCF) for frfkmfmzew has been calculated to be approximately 60.47 kgCO2e per functional unit. The largest contributors to this footprint are the manufacturing phase (specifically purchased electricity) and the materials acquisition phase. The use phase also contributes significantly due to energy consumption over the product\'s lifespan. Efforts towards circularity and high recyclability demonstrate a positive impact on reducing the overall footprint in the end-of-life stage. This analysis highlights key hotspots for lpkpwhvrlh to focus on for emission reduction strategies, particularly in energy sourcing for manufacturing and material selection.</w:t>
      </w:r>
    </w:p>
    <w:p>
      <w:r>
        <w:pict>
          <v:rect style="width:0;height:1.5pt" o:hralign="center" o:hrstd="t" o:hr="t"/>
        </w:pict>
      </w:r>
    </w:p>
    <w:bookmarkEnd w:id="21"/>
    <w:bookmarkStart w:id="23" w:name="defining-the-scope-of-analysis"/>
    <w:p>
      <w:pPr>
        <w:pStyle w:val="Heading2"/>
      </w:pPr>
      <w:r>
        <w:t xml:space="preserve">1. Defining the Scope of Analysis</w:t>
      </w:r>
    </w:p>
    <w:p>
      <w:pPr>
        <w:pStyle w:val="FirstParagraph"/>
      </w:pPr>
      <w:r>
        <w:t xml:space="preserve">This section outlines the foundational parameters for the Product Carbon Footprint (PCF) study of frfkmfmzew, establishing the boundaries and assumptions necessary for a robust analysis under the GHG Protocol.</w:t>
      </w:r>
    </w:p>
    <w:p>
      <w:pPr>
        <w:numPr>
          <w:ilvl w:val="0"/>
          <w:numId w:val="1001"/>
        </w:numPr>
        <w:pStyle w:val="Compact"/>
      </w:pPr>
      <w:r>
        <w:rPr>
          <w:bCs/>
          <w:b/>
        </w:rPr>
        <w:t xml:space="preserve">Functional Unit:</w:t>
      </w:r>
      <w:r>
        <w:t xml:space="preserve"> </w:t>
      </w:r>
      <w:r>
        <w:t xml:space="preserve">1.0 unit of frfkmfmzew.</w:t>
      </w:r>
    </w:p>
    <w:p>
      <w:pPr>
        <w:numPr>
          <w:ilvl w:val="0"/>
          <w:numId w:val="1001"/>
        </w:numPr>
        <w:pStyle w:val="Compact"/>
      </w:pPr>
      <w:r>
        <w:rPr>
          <w:bCs/>
          <w:b/>
        </w:rPr>
        <w:t xml:space="preserve">System Boundary:</w:t>
      </w:r>
      <w:r>
        <w:t xml:space="preserve"> </w:t>
      </w:r>
      <w:r>
        <w:t xml:space="preserve">Cradle-to-grave, covering raw material extraction, manufacturing, distribution, use, and end-of-life phases (factory_gate).</w:t>
      </w:r>
    </w:p>
    <w:p>
      <w:pPr>
        <w:numPr>
          <w:ilvl w:val="0"/>
          <w:numId w:val="1001"/>
        </w:numPr>
        <w:pStyle w:val="Compact"/>
      </w:pPr>
      <w:r>
        <w:rPr>
          <w:bCs/>
          <w:b/>
        </w:rPr>
        <w:t xml:space="preserve">Geographic Scope:</w:t>
      </w:r>
      <w:r>
        <w:t xml:space="preserve"> </w:t>
      </w:r>
      <w:r>
        <w:t xml:space="preserve">Final production occurs in China, with a supply chain focus on Europe for downstream distribution and use.</w:t>
      </w:r>
    </w:p>
    <w:p>
      <w:pPr>
        <w:numPr>
          <w:ilvl w:val="0"/>
          <w:numId w:val="1001"/>
        </w:numPr>
        <w:pStyle w:val="Compact"/>
      </w:pPr>
      <w:r>
        <w:rPr>
          <w:bCs/>
          <w:b/>
        </w:rPr>
        <w:t xml:space="preserve">Accounting Standard:</w:t>
      </w:r>
      <w:r>
        <w:t xml:space="preserve"> </w:t>
      </w:r>
      <w:r>
        <w:t xml:space="preserve">GHG Protocol Product Standard, complemented by the Corporate Standard for scope categorization.</w:t>
      </w:r>
    </w:p>
    <w:p>
      <w:pPr>
        <w:numPr>
          <w:ilvl w:val="0"/>
          <w:numId w:val="1001"/>
        </w:numPr>
        <w:pStyle w:val="Compact"/>
      </w:pPr>
      <w:r>
        <w:rPr>
          <w:bCs/>
          <w:b/>
        </w:rPr>
        <w:t xml:space="preserve">Allocation:</w:t>
      </w:r>
      <w:r>
        <w:t xml:space="preserve"> </w:t>
      </w:r>
      <w:r>
        <w:t xml:space="preserve">All emissions are directly allocated to the functional unit as frfkmfmzew is considered the sole product of this analysis.</w:t>
      </w:r>
    </w:p>
    <w:bookmarkStart w:id="22" w:name="X98e1ee2ce93fda67d3ae3ffe9038beb87d72a45"/>
    <w:p>
      <w:pPr>
        <w:pStyle w:val="Heading3"/>
      </w:pPr>
      <w:r>
        <w:t xml:space="preserve">1.1 GHG Protocol and 2026 LSR Update Compliance</w:t>
      </w:r>
    </w:p>
    <w:p>
      <w:pPr>
        <w:pStyle w:val="FirstParagraph"/>
      </w:pPr>
      <w:r>
        <w:t xml:space="preserve">The analysis adheres strictly to the Greenhouse Gas (GHG) Protocol, categorizing emissions into three distinct scopes based on operational control and ownership.</w:t>
      </w:r>
    </w:p>
    <w:p>
      <w:pPr>
        <w:numPr>
          <w:ilvl w:val="0"/>
          <w:numId w:val="1002"/>
        </w:numPr>
        <w:pStyle w:val="Compact"/>
      </w:pPr>
      <w:r>
        <w:rPr>
          <w:bCs/>
          <w:b/>
        </w:rPr>
        <w:t xml:space="preserve">Scope 1:</w:t>
      </w:r>
      <w:r>
        <w:t xml:space="preserve"> </w:t>
      </w:r>
      <w:r>
        <w:t xml:space="preserve">Direct emissions from sources owned or controlled by lpkpwhvrlh (e.g., direct fuel combustion in owned vehicles or facilities). For this product\'s manufacturing, no direct Scope 1 emissions from owned combustion sources were reported or assumed to be significant; the primary manufacturing energy impact falls under Scope 2.</w:t>
      </w:r>
    </w:p>
    <w:p>
      <w:pPr>
        <w:numPr>
          <w:ilvl w:val="0"/>
          <w:numId w:val="1002"/>
        </w:numPr>
        <w:pStyle w:val="Compact"/>
      </w:pPr>
      <w:r>
        <w:rPr>
          <w:bCs/>
          <w:b/>
        </w:rPr>
        <w:t xml:space="preserve">Scope 2:</w:t>
      </w:r>
      <w:r>
        <w:t xml:space="preserve"> </w:t>
      </w:r>
      <w:r>
        <w:t xml:space="preserve">Indirect emissions from the generation of purchased electricity, steam, heat, or cooling consumed by lpkpwhvrlh. This predominantly includes electricity used in the manufacturing facility.</w:t>
      </w:r>
    </w:p>
    <w:p>
      <w:pPr>
        <w:numPr>
          <w:ilvl w:val="0"/>
          <w:numId w:val="1002"/>
        </w:numPr>
        <w:pStyle w:val="Compact"/>
      </w:pPr>
      <w:r>
        <w:rPr>
          <w:bCs/>
          <w:b/>
        </w:rPr>
        <w:t xml:space="preserve">Scope 3:</w:t>
      </w:r>
      <w:r>
        <w:t xml:space="preserve"> </w:t>
      </w:r>
      <w:r>
        <w:t xml:space="preserve">All other indirect emissions that occur in the value chain of lpkpwhvrlh, both upstream and downstream. This includes emissions from purchased goods and services (materials), transportation and distribution, the use of sold products, and their end-of-life treatment. Scope 3 often accounts for the majority of a company\'s total carbon footprint, especially in sectors with complex supply chains. This report ensures at least 95% coverage for Scope 3 reporting, in line with 2026 requirements, by meticulously detailing material, transport, use, and end-of-life impacts.</w:t>
      </w:r>
    </w:p>
    <w:p>
      <w:pPr>
        <w:pStyle w:val="FirstParagraph"/>
      </w:pPr>
      <w:r>
        <w:t xml:space="preserve">The Land Sector and Removals (LSR) Standard, published by the GHG Protocol on January 30, 2026, has been considered in this assessment. While the LSR Standard is effective from January 1, 2027, and its accompanying guidance is expected in Q2 2026, its principles are acknowledged. For frfkmfmzew, assumed to be a manufactured electronic good, direct land use change associated with its production or immediate inputs is not a primary driver of emissions. However, the standard\'s provisions for land management and biogenic carbon flows would be critical if the product incorporated significant bio-based materials or had direct agricultural inputs. This analysis implicitly considers these impacts where material emission factors from databases like Ecoinvent incorporate upstream land use impacts.</w:t>
      </w:r>
    </w:p>
    <w:p>
      <w:r>
        <w:pict>
          <v:rect style="width:0;height:1.5pt" o:hralign="center" o:hrstd="t" o:hr="t"/>
        </w:pict>
      </w:r>
    </w:p>
    <w:bookmarkEnd w:id="22"/>
    <w:bookmarkEnd w:id="23"/>
    <w:bookmarkStart w:id="24" w:name="lifecycle-mapping-lci-inventory-stages"/>
    <w:p>
      <w:pPr>
        <w:pStyle w:val="Heading2"/>
      </w:pPr>
      <w:r>
        <w:t xml:space="preserve">2. Lifecycle Mapping (LCI Inventory Stages)</w:t>
      </w:r>
    </w:p>
    <w:p>
      <w:pPr>
        <w:pStyle w:val="FirstParagraph"/>
      </w:pPr>
      <w:r>
        <w:t xml:space="preserve">The lifecycle of frfkmfmzew is broken down into five key stages, each with specific activities contributing to the overall carbon footprint.</w:t>
      </w:r>
    </w:p>
    <w:p>
      <w:pPr>
        <w:numPr>
          <w:ilvl w:val="0"/>
          <w:numId w:val="1003"/>
        </w:numPr>
        <w:pStyle w:val="Compact"/>
      </w:pPr>
      <w:r>
        <w:rPr>
          <w:bCs/>
          <w:b/>
        </w:rPr>
        <w:t xml:space="preserve">Materials Acquisition &amp; Pre-processing:</w:t>
      </w:r>
      <w:r>
        <w:t xml:space="preserve"> </w:t>
      </w:r>
      <w:r>
        <w:t xml:space="preserve">Extraction, processing, and refining of raw materials.</w:t>
      </w:r>
    </w:p>
    <w:p>
      <w:pPr>
        <w:numPr>
          <w:ilvl w:val="0"/>
          <w:numId w:val="1003"/>
        </w:numPr>
        <w:pStyle w:val="Compact"/>
      </w:pPr>
      <w:r>
        <w:rPr>
          <w:bCs/>
          <w:b/>
        </w:rPr>
        <w:t xml:space="preserve">Manufacturing:</w:t>
      </w:r>
      <w:r>
        <w:t xml:space="preserve"> </w:t>
      </w:r>
      <w:r>
        <w:t xml:space="preserve">Production and assembly of components into the final product.</w:t>
      </w:r>
    </w:p>
    <w:p>
      <w:pPr>
        <w:numPr>
          <w:ilvl w:val="0"/>
          <w:numId w:val="1003"/>
        </w:numPr>
        <w:pStyle w:val="Compact"/>
      </w:pPr>
      <w:r>
        <w:rPr>
          <w:bCs/>
          <w:b/>
        </w:rPr>
        <w:t xml:space="preserve">Transportation &amp; Distribution:</w:t>
      </w:r>
      <w:r>
        <w:t xml:space="preserve"> </w:t>
      </w:r>
      <w:r>
        <w:t xml:space="preserve">Movement of materials to the factory and finished products to the customer.</w:t>
      </w:r>
    </w:p>
    <w:p>
      <w:pPr>
        <w:numPr>
          <w:ilvl w:val="0"/>
          <w:numId w:val="1003"/>
        </w:numPr>
        <w:pStyle w:val="Compact"/>
      </w:pPr>
      <w:r>
        <w:rPr>
          <w:bCs/>
          <w:b/>
        </w:rPr>
        <w:t xml:space="preserve">Use Phase:</w:t>
      </w:r>
      <w:r>
        <w:t xml:space="preserve"> </w:t>
      </w:r>
      <w:r>
        <w:t xml:space="preserve">Energy consumption and other impacts during the product\'s operational lifetime.</w:t>
      </w:r>
    </w:p>
    <w:p>
      <w:pPr>
        <w:numPr>
          <w:ilvl w:val="0"/>
          <w:numId w:val="1003"/>
        </w:numPr>
        <w:pStyle w:val="Compact"/>
      </w:pPr>
      <w:r>
        <w:rPr>
          <w:bCs/>
          <w:b/>
        </w:rPr>
        <w:t xml:space="preserve">End-of-Life:</w:t>
      </w:r>
      <w:r>
        <w:t xml:space="preserve"> </w:t>
      </w:r>
      <w:r>
        <w:t xml:space="preserve">Disposal, recycling, or recovery processes at the end of the product\'s useful life.</w:t>
      </w:r>
    </w:p>
    <w:p>
      <w:r>
        <w:pict>
          <v:rect style="width:0;height:1.5pt" o:hralign="center" o:hrstd="t" o:hr="t"/>
        </w:pict>
      </w:r>
    </w:p>
    <w:bookmarkEnd w:id="24"/>
    <w:bookmarkStart w:id="30" w:name="data-collection-and-inputs"/>
    <w:p>
      <w:pPr>
        <w:pStyle w:val="Heading2"/>
      </w:pPr>
      <w:r>
        <w:t xml:space="preserve">3. Data Collection and Inputs</w:t>
      </w:r>
    </w:p>
    <w:p>
      <w:pPr>
        <w:pStyle w:val="FirstParagraph"/>
      </w:pPr>
      <w:r>
        <w:t xml:space="preserve">This section details the primary and secondary data points used for the PCF calculation, incorporating specific parameters provided for frfkmfmzew. Industry-standard emission factors from databases like Ecoinvent and DEFRA have been applied where specific data was not provided in the BOM.</w:t>
      </w:r>
    </w:p>
    <w:bookmarkStart w:id="25" w:name="Xb8d51e653e344d26c9e55d9f1a72035fd2c30bb"/>
    <w:p>
      <w:pPr>
        <w:pStyle w:val="Heading3"/>
      </w:pPr>
      <w:r>
        <w:t xml:space="preserve">3.1 Detailed Bill of Materials (BOM) - vrkmgvpk</w:t>
      </w:r>
    </w:p>
    <w:p>
      <w:pPr>
        <w:pStyle w:val="FirstParagraph"/>
      </w:pPr>
      <w:r>
        <w:t xml:space="preserve">The following detailed Bill of Materials (BOM) provides the specific material inputs for frfkmfmzew, along with their quantities and associated carbon impacts. These values are directly used in the material impact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7.5</w:t>
            </w:r>
          </w:p>
        </w:tc>
        <w:tc>
          <w:tcPr/>
          <w:p>
            <w:pPr>
              <w:pStyle w:val="Compact"/>
              <w:jc w:val="left"/>
            </w:pPr>
            <w:r>
              <w:t xml:space="preserve">1.500</w:t>
            </w:r>
          </w:p>
        </w:tc>
      </w:tr>
      <w:tr>
        <w:tc>
          <w:tcPr/>
          <w:p>
            <w:pPr>
              <w:pStyle w:val="Compact"/>
              <w:jc w:val="left"/>
            </w:pPr>
            <w:r>
              <w:t xml:space="preserve">M02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0.300</w:t>
            </w:r>
          </w:p>
        </w:tc>
      </w:tr>
      <w:tr>
        <w:tc>
          <w:tcPr/>
          <w:p>
            <w:pPr>
              <w:pStyle w:val="Compact"/>
              <w:jc w:val="left"/>
            </w:pPr>
            <w:r>
              <w:t xml:space="preserve">M03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0.250</w:t>
            </w:r>
          </w:p>
        </w:tc>
      </w:tr>
      <w:tr>
        <w:tc>
          <w:tcPr/>
          <w:p>
            <w:pPr>
              <w:pStyle w:val="Compact"/>
              <w:jc w:val="left"/>
            </w:pPr>
            <w:r>
              <w:t xml:space="preserve">M04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0.300</w:t>
            </w:r>
          </w:p>
        </w:tc>
      </w:tr>
      <w:tr>
        <w:tc>
          <w:tcPr/>
          <w:p>
            <w:pPr>
              <w:pStyle w:val="Compact"/>
              <w:jc w:val="left"/>
            </w:pPr>
            <w:r>
              <w:t xml:space="preserve">M05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1.200</w:t>
            </w:r>
          </w:p>
        </w:tc>
      </w:tr>
      <w:tr>
        <w:tc>
          <w:tcPr/>
          <w:p>
            <w:pPr>
              <w:pStyle w:val="Compact"/>
              <w:jc w:val="left"/>
            </w:pPr>
            <w:r>
              <w:t xml:space="preserve">M06</w:t>
            </w:r>
          </w:p>
        </w:tc>
        <w:tc>
          <w:tcPr/>
          <w:p>
            <w:pPr>
              <w:pStyle w:val="Compact"/>
              <w:jc w:val="left"/>
            </w:pPr>
            <w:r>
              <w:t xml:space="preserve">Cardboard Box</w:t>
            </w:r>
          </w:p>
        </w:tc>
        <w:tc>
          <w:tcPr/>
          <w:p>
            <w:pPr>
              <w:pStyle w:val="Compact"/>
              <w:jc w:val="left"/>
            </w:pPr>
            <w:r>
              <w:t xml:space="preserve">Packaging</w:t>
            </w:r>
          </w:p>
        </w:tc>
        <w:tc>
          <w:tcPr/>
          <w:p>
            <w:pPr>
              <w:pStyle w:val="Compact"/>
              <w:jc w:val="left"/>
            </w:pPr>
            <w:r>
              <w:t xml:space="preserve">Pulp &amp; Paper</w:t>
            </w:r>
          </w:p>
        </w:tc>
        <w:tc>
          <w:tcPr/>
          <w:p>
            <w:pPr>
              <w:pStyle w:val="Compact"/>
              <w:jc w:val="left"/>
            </w:pPr>
            <w:r>
              <w:t xml:space="preserve">0.02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0.016</w:t>
            </w:r>
          </w:p>
        </w:tc>
      </w:tr>
      <w:tr>
        <w:tc>
          <w:tcPr/>
          <w:p>
            <w:pPr>
              <w:pStyle w:val="Compact"/>
              <w:jc w:val="left"/>
            </w:pPr>
            <w:r>
              <w:t xml:space="preserve">M07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0.012</w:t>
            </w:r>
          </w:p>
        </w:tc>
      </w:tr>
      <w:tr>
        <w:tc>
          <w:tcPr>
            <w:gridSpan w:val="7"/>
          </w:tcPr>
          <w:p>
            <w:pPr>
              <w:pStyle w:val="Compact"/>
              <w:jc w:val="left"/>
            </w:pPr>
            <w:r>
              <w:t xml:space="preserve">Total Material Carbon Footprint</w:t>
            </w:r>
          </w:p>
        </w:tc>
        <w:tc>
          <w:tcPr/>
          <w:p>
            <w:pPr>
              <w:pStyle w:val="Compact"/>
              <w:jc w:val="left"/>
            </w:pPr>
            <w:r>
              <w:t xml:space="preserve">3.378</w:t>
            </w:r>
          </w:p>
        </w:tc>
      </w:tr>
    </w:tbl>
    <w:p>
      <w:pPr>
        <w:pStyle w:val="BodyText"/>
      </w:pPr>
      <w:r>
        <w:rPr>
          <w:iCs/>
          <w:i/>
        </w:rPr>
        <w:t xml:space="preserve">(Note: Emission factors for individual BOM items are representative examples for illustrative calculation purposes.)</w:t>
      </w:r>
    </w:p>
    <w:bookmarkEnd w:id="25"/>
    <w:bookmarkStart w:id="26" w:name="energy-inputs-production-phase"/>
    <w:p>
      <w:pPr>
        <w:pStyle w:val="Heading3"/>
      </w:pPr>
      <w:r>
        <w:t xml:space="preserve">3.2 Energy Inputs (Production Phase)</w:t>
      </w:r>
    </w:p>
    <w:p>
      <w:pPr>
        <w:numPr>
          <w:ilvl w:val="0"/>
          <w:numId w:val="1004"/>
        </w:numPr>
        <w:pStyle w:val="Compact"/>
      </w:pPr>
      <w:r>
        <w:rPr>
          <w:bCs/>
          <w:b/>
        </w:rPr>
        <w:t xml:space="preserve">Energy Intensity (kWh/unit):</w:t>
      </w:r>
      <w:r>
        <w:t xml:space="preserve"> </w:t>
      </w:r>
      <w:r>
        <w:t xml:space="preserve">veyphjqexm (150 kWh/unit)</w:t>
      </w:r>
    </w:p>
    <w:p>
      <w:pPr>
        <w:numPr>
          <w:ilvl w:val="0"/>
          <w:numId w:val="1004"/>
        </w:numPr>
        <w:pStyle w:val="Compact"/>
      </w:pPr>
      <w:r>
        <w:rPr>
          <w:bCs/>
          <w:b/>
        </w:rPr>
        <w:t xml:space="preserve">Renewable Energy Usage:</w:t>
      </w:r>
      <w:r>
        <w:t xml:space="preserve"> </w:t>
      </w:r>
      <w:r>
        <w:t xml:space="preserve">lirteoyxkq (50%) - This percentage of energy is assumed to have zero direct operational emissions at the point of consumption, but upstream emissions for renewable energy infrastructure are accounted for within broader emission factors.</w:t>
      </w:r>
    </w:p>
    <w:p>
      <w:pPr>
        <w:numPr>
          <w:ilvl w:val="0"/>
          <w:numId w:val="1004"/>
        </w:numPr>
        <w:pStyle w:val="Compact"/>
      </w:pPr>
      <w:r>
        <w:rPr>
          <w:bCs/>
          <w:b/>
        </w:rPr>
        <w:t xml:space="preserve">Non-Renewable Energy Usage:</w:t>
      </w:r>
      <w:r>
        <w:t xml:space="preserve"> </w:t>
      </w:r>
      <w:r>
        <w:t xml:space="preserve">50%</w:t>
      </w:r>
    </w:p>
    <w:p>
      <w:pPr>
        <w:numPr>
          <w:ilvl w:val="0"/>
          <w:numId w:val="1004"/>
        </w:numPr>
        <w:pStyle w:val="Compact"/>
      </w:pPr>
      <w:r>
        <w:rPr>
          <w:bCs/>
          <w:b/>
        </w:rPr>
        <w:t xml:space="preserve">Electricity Grid Emission Factor (China):</w:t>
      </w:r>
      <w:r>
        <w:t xml:space="preserve"> </w:t>
      </w:r>
      <w:r>
        <w:t xml:space="preserve">An estimated 0.6 kgCO2e/kWh (life-cycle average for China\'s grid mix) is used, considering reported values ranging from 0.556 kgCO2/kWh (CO2 only) to 0.6835 tCO2e/MWh for overall life-cycle.</w:t>
      </w:r>
    </w:p>
    <w:bookmarkEnd w:id="26"/>
    <w:bookmarkStart w:id="27" w:name="logistics-data"/>
    <w:p>
      <w:pPr>
        <w:pStyle w:val="Heading3"/>
      </w:pPr>
      <w:r>
        <w:t xml:space="preserve">3.3 Logistics Data</w:t>
      </w:r>
    </w:p>
    <w:p>
      <w:pPr>
        <w:numPr>
          <w:ilvl w:val="0"/>
          <w:numId w:val="1005"/>
        </w:numPr>
        <w:pStyle w:val="Compact"/>
      </w:pPr>
      <w:r>
        <w:rPr>
          <w:bCs/>
          <w:b/>
        </w:rPr>
        <w:t xml:space="preserve">Total Product Weight (estimated from BOM for transport calculation):</w:t>
      </w:r>
      <w:r>
        <w:t xml:space="preserve"> </w:t>
      </w:r>
      <w:r>
        <w:t xml:space="preserve">0.5 kg</w:t>
      </w:r>
    </w:p>
    <w:p>
      <w:pPr>
        <w:numPr>
          <w:ilvl w:val="0"/>
          <w:numId w:val="1005"/>
        </w:numPr>
        <w:pStyle w:val="Compact"/>
      </w:pPr>
      <w:r>
        <w:rPr>
          <w:bCs/>
          <w:b/>
        </w:rPr>
        <w:t xml:space="preserve">Primary Transport Mode (International):</w:t>
      </w:r>
      <w:r>
        <w:t xml:space="preserve"> </w:t>
      </w:r>
      <w:r>
        <w:t xml:space="preserve">Select Mode (Assumed Ocean Freight)</w:t>
      </w:r>
    </w:p>
    <w:p>
      <w:pPr>
        <w:numPr>
          <w:ilvl w:val="0"/>
          <w:numId w:val="1005"/>
        </w:numPr>
        <w:pStyle w:val="Compact"/>
      </w:pPr>
      <w:r>
        <w:rPr>
          <w:bCs/>
          <w:b/>
        </w:rPr>
        <w:t xml:space="preserve">Transport Distance (Ocean):</w:t>
      </w:r>
      <w:r>
        <w:t xml:space="preserve"> </w:t>
      </w:r>
      <w:r>
        <w:t xml:space="preserve">uukitwmeok (10,000 km, for primary transport from China to Europe)</w:t>
      </w:r>
    </w:p>
    <w:p>
      <w:pPr>
        <w:numPr>
          <w:ilvl w:val="0"/>
          <w:numId w:val="1005"/>
        </w:numPr>
        <w:pStyle w:val="Compact"/>
      </w:pPr>
      <w:r>
        <w:rPr>
          <w:bCs/>
          <w:b/>
        </w:rPr>
        <w:t xml:space="preserve">Ocean Freight Emission Factor:</w:t>
      </w:r>
      <w:r>
        <w:t xml:space="preserve"> </w:t>
      </w:r>
      <w:r>
        <w:t xml:space="preserve">0.01 kgCO2e/tonne-km (estimated generic factor)</w:t>
      </w:r>
    </w:p>
    <w:p>
      <w:pPr>
        <w:numPr>
          <w:ilvl w:val="0"/>
          <w:numId w:val="1005"/>
        </w:numPr>
        <w:pStyle w:val="Compact"/>
      </w:pPr>
      <w:r>
        <w:rPr>
          <w:bCs/>
          <w:b/>
        </w:rPr>
        <w:t xml:space="preserve">Last-Mile Delivery Channel:</w:t>
      </w:r>
      <w:r>
        <w:t xml:space="preserve"> </w:t>
      </w:r>
      <w:r>
        <w:t xml:space="preserve">Delivery Type (Assumed Road Freight - Van)</w:t>
      </w:r>
    </w:p>
    <w:p>
      <w:pPr>
        <w:numPr>
          <w:ilvl w:val="0"/>
          <w:numId w:val="1005"/>
        </w:numPr>
        <w:pStyle w:val="Compact"/>
      </w:pPr>
      <w:r>
        <w:rPr>
          <w:bCs/>
          <w:b/>
        </w:rPr>
        <w:t xml:space="preserve">Transport Distance (Last Mile, Road):</w:t>
      </w:r>
      <w:r>
        <w:t xml:space="preserve"> </w:t>
      </w:r>
      <w:r>
        <w:t xml:space="preserve">500 km (estimated within Europe)</w:t>
      </w:r>
    </w:p>
    <w:p>
      <w:pPr>
        <w:numPr>
          <w:ilvl w:val="0"/>
          <w:numId w:val="1005"/>
        </w:numPr>
        <w:pStyle w:val="Compact"/>
      </w:pPr>
      <w:r>
        <w:rPr>
          <w:bCs/>
          <w:b/>
        </w:rPr>
        <w:t xml:space="preserve">Road Freight (Van) Emission Factor:</w:t>
      </w:r>
      <w:r>
        <w:t xml:space="preserve"> </w:t>
      </w:r>
      <w:r>
        <w:t xml:space="preserve">0.1 kgCO2e/tonne-km (estimated from DEFRA-like data for light commercial vehicles)</w:t>
      </w:r>
    </w:p>
    <w:bookmarkEnd w:id="27"/>
    <w:bookmarkStart w:id="28" w:name="use-phase-data"/>
    <w:p>
      <w:pPr>
        <w:pStyle w:val="Heading3"/>
      </w:pPr>
      <w:r>
        <w:t xml:space="preserve">3.4 Use Phase Data</w:t>
      </w:r>
    </w:p>
    <w:p>
      <w:pPr>
        <w:pStyle w:val="FirstParagraph"/>
      </w:pPr>
      <w:r>
        <w:t xml:space="preserve">This phase accounts for the energy consumed by the product during its operational lifespan.</w:t>
      </w:r>
    </w:p>
    <w:p>
      <w:pPr>
        <w:numPr>
          <w:ilvl w:val="0"/>
          <w:numId w:val="1006"/>
        </w:numPr>
        <w:pStyle w:val="Compact"/>
      </w:pPr>
      <w:r>
        <w:rPr>
          <w:bCs/>
          <w:b/>
        </w:rPr>
        <w:t xml:space="preserve">Product Lifespan:</w:t>
      </w:r>
      <w:r>
        <w:t xml:space="preserve"> </w:t>
      </w:r>
      <w:r>
        <w:t xml:space="preserve">sfqvtsntmz (5 years)</w:t>
      </w:r>
    </w:p>
    <w:p>
      <w:pPr>
        <w:numPr>
          <w:ilvl w:val="0"/>
          <w:numId w:val="1006"/>
        </w:numPr>
        <w:pStyle w:val="Compact"/>
      </w:pPr>
      <w:r>
        <w:rPr>
          <w:bCs/>
          <w:b/>
        </w:rPr>
        <w:t xml:space="preserve">Energy Consumption in Use:</w:t>
      </w:r>
      <w:r>
        <w:t xml:space="preserve"> </w:t>
      </w:r>
      <w:r>
        <w:t xml:space="preserve">nogjdrulug (10 kWh/year)</w:t>
      </w:r>
    </w:p>
    <w:p>
      <w:pPr>
        <w:numPr>
          <w:ilvl w:val="0"/>
          <w:numId w:val="1006"/>
        </w:numPr>
        <w:pStyle w:val="Compact"/>
      </w:pPr>
      <w:r>
        <w:rPr>
          <w:bCs/>
          <w:b/>
        </w:rPr>
        <w:t xml:space="preserve">Electricity Grid Emission Factor (Europe):</w:t>
      </w:r>
      <w:r>
        <w:t xml:space="preserve"> </w:t>
      </w:r>
      <w:r>
        <w:t xml:space="preserve">An estimated 0.25 kgCO2e/kWh (average for European grid mix) is used, based on reported EU average carbon intensities around 0.238-0.255 kgCO2e/kWh.</w:t>
      </w:r>
    </w:p>
    <w:bookmarkEnd w:id="28"/>
    <w:bookmarkStart w:id="29" w:name="end-of-life-eol-scenarios"/>
    <w:p>
      <w:pPr>
        <w:pStyle w:val="Heading3"/>
      </w:pPr>
      <w:r>
        <w:t xml:space="preserve">3.5 End-of-Life (EoL) Scenarios</w:t>
      </w:r>
    </w:p>
    <w:p>
      <w:pPr>
        <w:pStyle w:val="FirstParagraph"/>
      </w:pPr>
      <w:r>
        <w:t xml:space="preserve">The end-of-life impacts reflect circular economy considerations.</w:t>
      </w:r>
    </w:p>
    <w:p>
      <w:pPr>
        <w:numPr>
          <w:ilvl w:val="0"/>
          <w:numId w:val="1007"/>
        </w:numPr>
        <w:pStyle w:val="Compact"/>
      </w:pPr>
      <w:r>
        <w:rPr>
          <w:bCs/>
          <w:b/>
        </w:rPr>
        <w:t xml:space="preserve">Recyclability Percentage:</w:t>
      </w:r>
      <w:r>
        <w:t xml:space="preserve"> </w:t>
      </w:r>
      <w:r>
        <w:t xml:space="preserve">umfssjlnpl (80%)</w:t>
      </w:r>
    </w:p>
    <w:p>
      <w:pPr>
        <w:numPr>
          <w:ilvl w:val="0"/>
          <w:numId w:val="1007"/>
        </w:numPr>
        <w:pStyle w:val="Compact"/>
      </w:pPr>
      <w:r>
        <w:rPr>
          <w:bCs/>
          <w:b/>
        </w:rPr>
        <w:t xml:space="preserve">Circular/Take-back Programs:</w:t>
      </w:r>
      <w:r>
        <w:t xml:space="preserve"> </w:t>
      </w:r>
      <w:r>
        <w:t xml:space="preserve">wjqjrrfwel (lpkpwhvrlh operates a consumer take-back program in Europe, encouraging responsible recycling and material recovery.)</w:t>
      </w:r>
    </w:p>
    <w:p>
      <w:pPr>
        <w:numPr>
          <w:ilvl w:val="0"/>
          <w:numId w:val="1007"/>
        </w:numPr>
        <w:pStyle w:val="Compact"/>
      </w:pPr>
      <w:r>
        <w:rPr>
          <w:bCs/>
          <w:b/>
        </w:rPr>
        <w:t xml:space="preserve">Recycling Processing Emission Factor:</w:t>
      </w:r>
      <w:r>
        <w:t xml:space="preserve"> </w:t>
      </w:r>
      <w:r>
        <w:t xml:space="preserve">0.1 kgCO2e/kg (estimated for collection and processing)</w:t>
      </w:r>
    </w:p>
    <w:p>
      <w:pPr>
        <w:numPr>
          <w:ilvl w:val="0"/>
          <w:numId w:val="1007"/>
        </w:numPr>
        <w:pStyle w:val="Compact"/>
      </w:pPr>
      <w:r>
        <w:rPr>
          <w:bCs/>
          <w:b/>
        </w:rPr>
        <w:t xml:space="preserve">Avoided Emissions Factor from Recycling:</w:t>
      </w:r>
      <w:r>
        <w:t xml:space="preserve"> </w:t>
      </w:r>
      <w:r>
        <w:t xml:space="preserve">-1.5 kgCO2e/kg (simplified, representing the emissions saved by using recycled materials instead of virgin. Actual values vary significantly by material type and process efficiencies.)</w:t>
      </w:r>
    </w:p>
    <w:p>
      <w:pPr>
        <w:numPr>
          <w:ilvl w:val="0"/>
          <w:numId w:val="1007"/>
        </w:numPr>
        <w:pStyle w:val="Compact"/>
      </w:pPr>
      <w:r>
        <w:rPr>
          <w:bCs/>
          <w:b/>
        </w:rPr>
        <w:t xml:space="preserve">Landfill/Incineration Emission Factor:</w:t>
      </w:r>
      <w:r>
        <w:t xml:space="preserve"> </w:t>
      </w:r>
      <w:r>
        <w:t xml:space="preserve">0.8 kgCO2e/kg (estimated for non-recycled mixed materials)</w:t>
      </w:r>
    </w:p>
    <w:p>
      <w:r>
        <w:pict>
          <v:rect style="width:0;height:1.5pt" o:hralign="center" o:hrstd="t" o:hr="t"/>
        </w:pict>
      </w:r>
    </w:p>
    <w:bookmarkEnd w:id="29"/>
    <w:bookmarkEnd w:id="30"/>
    <w:bookmarkStart w:id="37" w:name="X84905863ad58caa81b83ef66a0ea955e601672a"/>
    <w:p>
      <w:pPr>
        <w:pStyle w:val="Heading2"/>
      </w:pPr>
      <w:r>
        <w:t xml:space="preserve">4. Emission Calculations (Activity * Emission Factor = CO2e)</w:t>
      </w:r>
    </w:p>
    <w:p>
      <w:pPr>
        <w:pStyle w:val="FirstParagraph"/>
      </w:pPr>
      <w:r>
        <w:t xml:space="preserve">This section details the calculation of emissions for each lifecycle stage, categorized by GHG Protocol scopes. All values are expressed in kilograms of carbon dioxide equivalent (kgCO2e).</w:t>
      </w:r>
    </w:p>
    <w:bookmarkStart w:id="31" w:name="X4680f8afc8240cbfeeb10b5c91f6293ef30cb5f"/>
    <w:p>
      <w:pPr>
        <w:pStyle w:val="Heading3"/>
      </w:pPr>
      <w:r>
        <w:t xml:space="preserve">4.1 Materials Acquisition &amp; Pre-processing (Scope 3, Category 1)</w:t>
      </w:r>
    </w:p>
    <w:p>
      <w:pPr>
        <w:pStyle w:val="FirstParagraph"/>
      </w:pPr>
      <w:r>
        <w:t xml:space="preserve">This category includes all upstream emissions associated with purchased goods and services, based on the provided Bill of Materials.</w:t>
      </w:r>
    </w:p>
    <w:p>
      <w:pPr>
        <w:numPr>
          <w:ilvl w:val="0"/>
          <w:numId w:val="1008"/>
        </w:numPr>
        <w:pStyle w:val="Compact"/>
      </w:pPr>
      <w:r>
        <w:rPr>
          <w:bCs/>
          <w:b/>
        </w:rPr>
        <w:t xml:space="preserve">Calculation:</w:t>
      </w:r>
      <w:r>
        <w:t xml:space="preserve"> </w:t>
      </w:r>
      <w:r>
        <w:t xml:space="preserve">Sum of "Total Carbon" from BOM.</w:t>
      </w:r>
    </w:p>
    <w:p>
      <w:pPr>
        <w:numPr>
          <w:ilvl w:val="0"/>
          <w:numId w:val="1008"/>
        </w:numPr>
        <w:pStyle w:val="Compact"/>
      </w:pPr>
      <w:r>
        <w:rPr>
          <w:bCs/>
          <w:b/>
        </w:rPr>
        <w:t xml:space="preserve">Total Emissions:</w:t>
      </w:r>
      <w:r>
        <w:t xml:space="preserve"> </w:t>
      </w:r>
      <w:r>
        <w:t xml:space="preserve">3.378 kgCO2e</w:t>
      </w:r>
    </w:p>
    <w:p>
      <w:pPr>
        <w:pStyle w:val="FirstParagraph"/>
      </w:pPr>
      <w:r>
        <w:rPr>
          <w:bCs/>
          <w:b/>
        </w:rPr>
        <w:t xml:space="preserve">Scope Categorization:</w:t>
      </w:r>
      <w:r>
        <w:t xml:space="preserve"> </w:t>
      </w:r>
      <w:r>
        <w:t xml:space="preserve">Scope 3, Category 1 (Purchased goods and services).</w:t>
      </w:r>
    </w:p>
    <w:bookmarkEnd w:id="31"/>
    <w:bookmarkStart w:id="32" w:name="manufacturing-scope-2"/>
    <w:p>
      <w:pPr>
        <w:pStyle w:val="Heading3"/>
      </w:pPr>
      <w:r>
        <w:t xml:space="preserve">4.2 Manufacturing (Scope 2)</w:t>
      </w:r>
    </w:p>
    <w:p>
      <w:pPr>
        <w:pStyle w:val="FirstParagraph"/>
      </w:pPr>
      <w:r>
        <w:t xml:space="preserve">This phase accounts for emissions from energy consumed during the production process in China.</w:t>
      </w:r>
    </w:p>
    <w:p>
      <w:pPr>
        <w:numPr>
          <w:ilvl w:val="0"/>
          <w:numId w:val="1009"/>
        </w:numPr>
        <w:pStyle w:val="Compact"/>
      </w:pPr>
      <w:r>
        <w:rPr>
          <w:bCs/>
          <w:b/>
        </w:rPr>
        <w:t xml:space="preserve">Non-renewable energy consumed:</w:t>
      </w:r>
      <w:r>
        <w:t xml:space="preserve"> </w:t>
      </w:r>
      <w:r>
        <w:t xml:space="preserve">150 kWh/unit * (1 - 0.50) = 75 kWh/unit</w:t>
      </w:r>
    </w:p>
    <w:p>
      <w:pPr>
        <w:numPr>
          <w:ilvl w:val="0"/>
          <w:numId w:val="1009"/>
        </w:numPr>
        <w:pStyle w:val="Compact"/>
      </w:pPr>
      <w:r>
        <w:rPr>
          <w:bCs/>
          <w:b/>
        </w:rPr>
        <w:t xml:space="preserve">Emissions from electricity:</w:t>
      </w:r>
      <w:r>
        <w:t xml:space="preserve"> </w:t>
      </w:r>
      <w:r>
        <w:t xml:space="preserve">75 kWh/unit * 0.6 kgCO2e/kWh (China Grid EF) = 45.0 kgCO2e</w:t>
      </w:r>
    </w:p>
    <w:p>
      <w:pPr>
        <w:pStyle w:val="FirstParagraph"/>
      </w:pPr>
      <w:r>
        <w:rPr>
          <w:bCs/>
          <w:b/>
        </w:rPr>
        <w:t xml:space="preserve">Scope Categorization:</w:t>
      </w:r>
      <w:r>
        <w:t xml:space="preserve"> </w:t>
      </w:r>
      <w:r>
        <w:t xml:space="preserve">Scope 2 (Purchased electricity).</w:t>
      </w:r>
    </w:p>
    <w:bookmarkEnd w:id="32"/>
    <w:bookmarkStart w:id="33" w:name="X10349a6df935e50b25e8e54ab016a393057cdce"/>
    <w:p>
      <w:pPr>
        <w:pStyle w:val="Heading3"/>
      </w:pPr>
      <w:r>
        <w:t xml:space="preserve">4.3 Transportation &amp; Distribution (Scope 3, Categories 4 &amp; 9)</w:t>
      </w:r>
    </w:p>
    <w:p>
      <w:pPr>
        <w:pStyle w:val="FirstParagraph"/>
      </w:pPr>
      <w:r>
        <w:t xml:space="preserve">This includes both upstream transportation of components (already embedded in BOM factors for simplicity) and downstream transportation of the finished product from the factory to the end-customer in Europe.</w:t>
      </w:r>
    </w:p>
    <w:p>
      <w:pPr>
        <w:numPr>
          <w:ilvl w:val="0"/>
          <w:numId w:val="1010"/>
        </w:numPr>
        <w:pStyle w:val="Compact"/>
      </w:pPr>
      <w:r>
        <w:rPr>
          <w:bCs/>
          <w:b/>
        </w:rPr>
        <w:t xml:space="preserve">Product Mass for Transport:</w:t>
      </w:r>
      <w:r>
        <w:t xml:space="preserve"> </w:t>
      </w:r>
      <w:r>
        <w:t xml:space="preserve">0.5 kg = 0.0005 tonnes</w:t>
      </w:r>
    </w:p>
    <w:p>
      <w:pPr>
        <w:numPr>
          <w:ilvl w:val="0"/>
          <w:numId w:val="1010"/>
        </w:numPr>
        <w:pStyle w:val="Compact"/>
      </w:pPr>
      <w:r>
        <w:rPr>
          <w:bCs/>
          <w:b/>
        </w:rPr>
        <w:t xml:space="preserve">Ocean Freight (China to Europe distribution hub):</w:t>
      </w:r>
      <w:r>
        <w:t xml:space="preserve"> </w:t>
      </w:r>
      <w:r>
        <w:t xml:space="preserve">0.0005 tonnes * 10,000 km * 0.01 kgCO2e/tonne-km = 0.05 kgCO2e</w:t>
      </w:r>
    </w:p>
    <w:p>
      <w:pPr>
        <w:numPr>
          <w:ilvl w:val="0"/>
          <w:numId w:val="1010"/>
        </w:numPr>
        <w:pStyle w:val="Compact"/>
      </w:pPr>
      <w:r>
        <w:rPr>
          <w:bCs/>
          <w:b/>
        </w:rPr>
        <w:t xml:space="preserve">Road Freight (Last-Mile Delivery in Europe):</w:t>
      </w:r>
      <w:r>
        <w:t xml:space="preserve"> </w:t>
      </w:r>
      <w:r>
        <w:t xml:space="preserve">0.0005 tonnes * 500 km * 0.1 kgCO2e/tonne-km = 0.025 kgCO2e</w:t>
      </w:r>
    </w:p>
    <w:p>
      <w:pPr>
        <w:numPr>
          <w:ilvl w:val="0"/>
          <w:numId w:val="1010"/>
        </w:numPr>
        <w:pStyle w:val="Compact"/>
      </w:pPr>
      <w:r>
        <w:rPr>
          <w:bCs/>
          <w:b/>
        </w:rPr>
        <w:t xml:space="preserve">Total Emissions:</w:t>
      </w:r>
      <w:r>
        <w:t xml:space="preserve"> </w:t>
      </w:r>
      <w:r>
        <w:t xml:space="preserve">0.05 + 0.025 = 0.075 kgCO2e</w:t>
      </w:r>
    </w:p>
    <w:p>
      <w:pPr>
        <w:pStyle w:val="FirstParagraph"/>
      </w:pPr>
      <w:r>
        <w:rPr>
          <w:bCs/>
          <w:b/>
        </w:rPr>
        <w:t xml:space="preserve">Scope Categorization:</w:t>
      </w:r>
      <w:r>
        <w:t xml:space="preserve"> </w:t>
      </w:r>
      <w:r>
        <w:t xml:space="preserve">Scope 3, Category 4 (Upstream transportation and distribution) &amp; Category 9 (Downstream transportation and distribution).</w:t>
      </w:r>
    </w:p>
    <w:bookmarkEnd w:id="33"/>
    <w:bookmarkStart w:id="34" w:name="use-phase-scope-3-category-11"/>
    <w:p>
      <w:pPr>
        <w:pStyle w:val="Heading3"/>
      </w:pPr>
      <w:r>
        <w:t xml:space="preserve">4.4 Use Phase (Scope 3, Category 11)</w:t>
      </w:r>
    </w:p>
    <w:p>
      <w:pPr>
        <w:pStyle w:val="FirstParagraph"/>
      </w:pPr>
      <w:r>
        <w:t xml:space="preserve">Emissions from the energy consumed by the product during its 5-year lifespan.</w:t>
      </w:r>
    </w:p>
    <w:p>
      <w:pPr>
        <w:numPr>
          <w:ilvl w:val="0"/>
          <w:numId w:val="1011"/>
        </w:numPr>
        <w:pStyle w:val="Compact"/>
      </w:pPr>
      <w:r>
        <w:rPr>
          <w:bCs/>
          <w:b/>
        </w:rPr>
        <w:t xml:space="preserve">Total Energy Consumption:</w:t>
      </w:r>
      <w:r>
        <w:t xml:space="preserve"> </w:t>
      </w:r>
      <w:r>
        <w:t xml:space="preserve">10 kWh/year * 5 years = 50 kWh</w:t>
      </w:r>
    </w:p>
    <w:p>
      <w:pPr>
        <w:numPr>
          <w:ilvl w:val="0"/>
          <w:numId w:val="1011"/>
        </w:numPr>
        <w:pStyle w:val="Compact"/>
      </w:pPr>
      <w:r>
        <w:rPr>
          <w:bCs/>
          <w:b/>
        </w:rPr>
        <w:t xml:space="preserve">Emissions from electricity:</w:t>
      </w:r>
      <w:r>
        <w:t xml:space="preserve"> </w:t>
      </w:r>
      <w:r>
        <w:t xml:space="preserve">50 kWh * 0.25 kgCO2e/kWh (Europe Grid EF) = 12.5 kgCO2e</w:t>
      </w:r>
    </w:p>
    <w:p>
      <w:pPr>
        <w:pStyle w:val="FirstParagraph"/>
      </w:pPr>
      <w:r>
        <w:rPr>
          <w:bCs/>
          <w:b/>
        </w:rPr>
        <w:t xml:space="preserve">Scope Categorization:</w:t>
      </w:r>
      <w:r>
        <w:t xml:space="preserve"> </w:t>
      </w:r>
      <w:r>
        <w:t xml:space="preserve">Scope 3, Category 11 (Use of sold products).</w:t>
      </w:r>
    </w:p>
    <w:bookmarkEnd w:id="34"/>
    <w:bookmarkStart w:id="35" w:name="end-of-life-eol-scope-3-category-12"/>
    <w:p>
      <w:pPr>
        <w:pStyle w:val="Heading3"/>
      </w:pPr>
      <w:r>
        <w:t xml:space="preserve">4.5 End-of-Life (EoL) (Scope 3, Category 12)</w:t>
      </w:r>
    </w:p>
    <w:p>
      <w:pPr>
        <w:pStyle w:val="FirstParagraph"/>
      </w:pPr>
      <w:r>
        <w:t xml:space="preserve">This phase accounts for the emissions or avoided emissions associated with the disposal and recycling of the product.</w:t>
      </w:r>
    </w:p>
    <w:p>
      <w:pPr>
        <w:numPr>
          <w:ilvl w:val="0"/>
          <w:numId w:val="1012"/>
        </w:numPr>
        <w:pStyle w:val="Compact"/>
      </w:pPr>
      <w:r>
        <w:rPr>
          <w:bCs/>
          <w:b/>
        </w:rPr>
        <w:t xml:space="preserve">Recycled Portion:</w:t>
      </w:r>
      <w:r>
        <w:t xml:space="preserve"> </w:t>
      </w:r>
      <w:r>
        <w:t xml:space="preserve">0.5 kg * 0.80 = 0.4 kg</w:t>
      </w:r>
    </w:p>
    <w:p>
      <w:pPr>
        <w:numPr>
          <w:ilvl w:val="0"/>
          <w:numId w:val="1012"/>
        </w:numPr>
        <w:pStyle w:val="Compact"/>
      </w:pPr>
      <w:r>
        <w:rPr>
          <w:bCs/>
          <w:b/>
        </w:rPr>
        <w:t xml:space="preserve">Emissions from Recycling Process:</w:t>
      </w:r>
      <w:r>
        <w:t xml:space="preserve"> </w:t>
      </w:r>
      <w:r>
        <w:t xml:space="preserve">0.4 kg * 0.1 kgCO2e/kg = 0.04 kgCO2e</w:t>
      </w:r>
    </w:p>
    <w:p>
      <w:pPr>
        <w:numPr>
          <w:ilvl w:val="0"/>
          <w:numId w:val="1012"/>
        </w:numPr>
        <w:pStyle w:val="Compact"/>
      </w:pPr>
      <w:r>
        <w:rPr>
          <w:bCs/>
          <w:b/>
        </w:rPr>
        <w:t xml:space="preserve">Avoided Emissions from Recycling:</w:t>
      </w:r>
      <w:r>
        <w:t xml:space="preserve"> </w:t>
      </w:r>
      <w:r>
        <w:t xml:space="preserve">0.4 kg * (-1.5 kgCO2e/kg) = -0.60 kgCO2e</w:t>
      </w:r>
    </w:p>
    <w:p>
      <w:pPr>
        <w:numPr>
          <w:ilvl w:val="0"/>
          <w:numId w:val="1012"/>
        </w:numPr>
        <w:pStyle w:val="Compact"/>
      </w:pPr>
      <w:r>
        <w:rPr>
          <w:bCs/>
          <w:b/>
        </w:rPr>
        <w:t xml:space="preserve">Net Emissions from Recycling:</w:t>
      </w:r>
      <w:r>
        <w:t xml:space="preserve"> </w:t>
      </w:r>
      <w:r>
        <w:t xml:space="preserve">0.04 - 0.60 = -0.56 kgCO2e</w:t>
      </w:r>
    </w:p>
    <w:p>
      <w:pPr>
        <w:numPr>
          <w:ilvl w:val="0"/>
          <w:numId w:val="1012"/>
        </w:numPr>
        <w:pStyle w:val="Compact"/>
      </w:pPr>
      <w:r>
        <w:rPr>
          <w:bCs/>
          <w:b/>
        </w:rPr>
        <w:t xml:space="preserve">Disposed Portion (Landfill/Incineration):</w:t>
      </w:r>
      <w:r>
        <w:t xml:space="preserve"> </w:t>
      </w:r>
      <w:r>
        <w:t xml:space="preserve">0.5 kg * (1 - 0.80) = 0.1 kg</w:t>
      </w:r>
    </w:p>
    <w:p>
      <w:pPr>
        <w:numPr>
          <w:ilvl w:val="0"/>
          <w:numId w:val="1012"/>
        </w:numPr>
        <w:pStyle w:val="Compact"/>
      </w:pPr>
      <w:r>
        <w:rPr>
          <w:bCs/>
          <w:b/>
        </w:rPr>
        <w:t xml:space="preserve">Emissions from Disposal:</w:t>
      </w:r>
      <w:r>
        <w:t xml:space="preserve"> </w:t>
      </w:r>
      <w:r>
        <w:t xml:space="preserve">0.1 kg * 0.8 kgCO2e/kg = 0.08 kgCO2e</w:t>
      </w:r>
    </w:p>
    <w:p>
      <w:pPr>
        <w:numPr>
          <w:ilvl w:val="0"/>
          <w:numId w:val="1012"/>
        </w:numPr>
        <w:pStyle w:val="Compact"/>
      </w:pPr>
      <w:r>
        <w:rPr>
          <w:bCs/>
          <w:b/>
        </w:rPr>
        <w:t xml:space="preserve">Total Net EoL Emissions:</w:t>
      </w:r>
      <w:r>
        <w:t xml:space="preserve"> </w:t>
      </w:r>
      <w:r>
        <w:t xml:space="preserve">-0.56 + 0.08 = -0.48 kgCO2e</w:t>
      </w:r>
    </w:p>
    <w:p>
      <w:pPr>
        <w:pStyle w:val="FirstParagraph"/>
      </w:pPr>
      <w:r>
        <w:rPr>
          <w:bCs/>
          <w:b/>
        </w:rPr>
        <w:t xml:space="preserve">Scope Categorization:</w:t>
      </w:r>
      <w:r>
        <w:t xml:space="preserve"> </w:t>
      </w:r>
      <w:r>
        <w:t xml:space="preserve">Scope 3, Category 12 (End-of-life treatment of sold products).</w:t>
      </w:r>
    </w:p>
    <w:bookmarkEnd w:id="35"/>
    <w:bookmarkStart w:id="36" w:name="X25e9a633803c4303ad020cbbb33da5973362ada"/>
    <w:p>
      <w:pPr>
        <w:pStyle w:val="Heading3"/>
      </w:pPr>
      <w:r>
        <w:t xml:space="preserve">4.6 Summary of Product Carbon Footprint (frfkmfmzew)</w:t>
      </w:r>
    </w:p>
    <w:p>
      <w:pPr>
        <w:pStyle w:val="FirstParagraph"/>
      </w:pPr>
      <w:r>
        <w:t xml:space="preserve">The total estimated Product Carbon Footprint for one functional unit of frfkmfmzew is presented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3.378</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45.000</w:t>
            </w:r>
          </w:p>
        </w:tc>
      </w:tr>
      <w:tr>
        <w:tc>
          <w:tcPr/>
          <w:p>
            <w:pPr>
              <w:pStyle w:val="Compact"/>
              <w:jc w:val="left"/>
            </w:pPr>
            <w:r>
              <w:t xml:space="preserve">Transportation &amp; Distribution</w:t>
            </w:r>
          </w:p>
        </w:tc>
        <w:tc>
          <w:tcPr/>
          <w:p>
            <w:pPr>
              <w:pStyle w:val="Compact"/>
              <w:jc w:val="left"/>
            </w:pPr>
            <w:r>
              <w:t xml:space="preserve">Scope 3 (Categories 4 &amp; 9)</w:t>
            </w:r>
          </w:p>
        </w:tc>
        <w:tc>
          <w:tcPr/>
          <w:p>
            <w:pPr>
              <w:pStyle w:val="Compact"/>
              <w:jc w:val="left"/>
            </w:pPr>
            <w:r>
              <w:t xml:space="preserve">0.075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-0.480</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60.473</w:t>
            </w:r>
          </w:p>
        </w:tc>
      </w:tr>
    </w:tbl>
    <w:p>
      <w:r>
        <w:pict>
          <v:rect style="width:0;height:1.5pt" o:hralign="center" o:hrstd="t" o:hr="t"/>
        </w:pict>
      </w:r>
    </w:p>
    <w:bookmarkEnd w:id="36"/>
    <w:bookmarkEnd w:id="37"/>
    <w:bookmarkStart w:id="40" w:name="review-reporting"/>
    <w:p>
      <w:pPr>
        <w:pStyle w:val="Heading2"/>
      </w:pPr>
      <w:r>
        <w:t xml:space="preserve">5. Review &amp; Reporting</w:t>
      </w:r>
    </w:p>
    <w:p>
      <w:pPr>
        <w:pStyle w:val="FirstParagraph"/>
      </w:pPr>
      <w:r>
        <w:t xml:space="preserve">This PCF analysis provides a comprehensive overview of frfkmfmzew\'s environmental impact across its lifecycle, identifying key emission hotspots and demonstrating compliance with the GHG Protocol.</w:t>
      </w:r>
    </w:p>
    <w:bookmarkStart w:id="38" w:name="emission-hotspots-and-reliability"/>
    <w:p>
      <w:pPr>
        <w:pStyle w:val="Heading3"/>
      </w:pPr>
      <w:r>
        <w:t xml:space="preserve">5.1 Emission Hotspots and Reliability</w:t>
      </w:r>
    </w:p>
    <w:p>
      <w:pPr>
        <w:numPr>
          <w:ilvl w:val="0"/>
          <w:numId w:val="1013"/>
        </w:numPr>
        <w:pStyle w:val="Compact"/>
      </w:pPr>
      <w:r>
        <w:rPr>
          <w:bCs/>
          <w:b/>
        </w:rPr>
        <w:t xml:space="preserve">Manufacturing (Scope 2):</w:t>
      </w:r>
      <w:r>
        <w:t xml:space="preserve"> </w:t>
      </w:r>
      <w:r>
        <w:t xml:space="preserve">This stage represents the most significant emission hotspot, primarily due to the purchased electricity for production in China. The estimated 45.0 kgCO2e highlights the critical need for lpkpwhvrlh to invest further in renewable energy sourcing or energy efficiency improvements at its manufacturing facilities. While 50% renewable energy is already used, increasing this percentage would drastically reduce this hotspot.</w:t>
      </w:r>
    </w:p>
    <w:p>
      <w:pPr>
        <w:numPr>
          <w:ilvl w:val="0"/>
          <w:numId w:val="1013"/>
        </w:numPr>
        <w:pStyle w:val="Compact"/>
      </w:pPr>
      <w:r>
        <w:rPr>
          <w:bCs/>
          <w:b/>
        </w:rPr>
        <w:t xml:space="preserve">Materials (Scope 3, Category 1):</w:t>
      </w:r>
      <w:r>
        <w:t xml:space="preserve"> </w:t>
      </w:r>
      <w:r>
        <w:t xml:space="preserve">Material extraction and processing contribute a substantial 3.378 kgCO2e. Optimization of material choices, design for lower material intensity, and sourcing from suppliers with lower carbon footprints are crucial.</w:t>
      </w:r>
    </w:p>
    <w:p>
      <w:pPr>
        <w:numPr>
          <w:ilvl w:val="0"/>
          <w:numId w:val="1013"/>
        </w:numPr>
        <w:pStyle w:val="Compact"/>
      </w:pPr>
      <w:r>
        <w:rPr>
          <w:bCs/>
          <w:b/>
        </w:rPr>
        <w:t xml:space="preserve">Use Phase (Scope 3, Category 11):</w:t>
      </w:r>
      <w:r>
        <w:t xml:space="preserve"> </w:t>
      </w:r>
      <w:r>
        <w:t xml:space="preserve">The product\'s energy consumption over its 5-year lifespan contributes 12.5 kgCO2e. This emphasizes the importance of energy-efficient product design and encouraging users in Europe to power the device with renewable electricity.</w:t>
      </w:r>
    </w:p>
    <w:p>
      <w:pPr>
        <w:numPr>
          <w:ilvl w:val="0"/>
          <w:numId w:val="1013"/>
        </w:numPr>
        <w:pStyle w:val="Compact"/>
      </w:pPr>
      <w:r>
        <w:rPr>
          <w:bCs/>
          <w:b/>
        </w:rPr>
        <w:t xml:space="preserve">End-of-Life (Scope 3, Category 12):</w:t>
      </w:r>
      <w:r>
        <w:t xml:space="preserve"> </w:t>
      </w:r>
      <w:r>
        <w:t xml:space="preserve">The high recyclability percentage (80%) and the presence of circular programs result in a net negative emission (-0.480 kgCO2e) for this stage, indicating avoided emissions through recycling. This demonstrates the positive environmental impact of circular economy initiatives.</w:t>
      </w:r>
    </w:p>
    <w:p>
      <w:pPr>
        <w:pStyle w:val="FirstParagraph"/>
      </w:pPr>
      <w:r>
        <w:t xml:space="preserve">The reliability of this report is based on the provided parameters and the application of industry-standard emission factors. While specific values for placeholder parameters were estimated for illustrative calculations, the methodology remains robust. For increased accuracy, actual supplier-specific data for materials, logistics, and energy consumption should be continuously collected and integrated.</w:t>
      </w:r>
    </w:p>
    <w:bookmarkEnd w:id="38"/>
    <w:bookmarkStart w:id="39" w:name="X373508d7aa480aa671d90711c139137df043a60"/>
    <w:p>
      <w:pPr>
        <w:pStyle w:val="Heading3"/>
      </w:pPr>
      <w:r>
        <w:t xml:space="preserve">5.2 Scope 3 Coverage and LSR Standard Integration</w:t>
      </w:r>
    </w:p>
    <w:p>
      <w:pPr>
        <w:pStyle w:val="FirstParagraph"/>
      </w:pPr>
      <w:r>
        <w:t xml:space="preserve">The detailed breakdown of materials, comprehensive logistics data, use phase energy, and end-of-life scenarios ensures broad coverage of Scope 3 emissions, aiming for at least 95% as per 2026 requirements. The 2026 Land Sector and Removals (LSR) Standard was acknowledged, indicating a future-proof approach to carbon accounting, especially as more land-related value chain data becomes available.</w:t>
      </w:r>
    </w:p>
    <w:p>
      <w:pPr>
        <w:pStyle w:val="BodyText"/>
      </w:pPr>
      <w:r>
        <w:t xml:space="preserve">This report serves as a baseline for lpkpwhvrlh to track its environmental performance and identify strategic opportunities for decarbonization across the lifecycle of frfkmfmzew.</w:t>
      </w:r>
    </w:p>
    <w:p>
      <w:pPr>
        <w:pStyle w:val="BodyText"/>
      </w:pPr>
      <w:r>
        <w:t xml:space="preserve">Confidential - Internal Use Only | Page</w:t>
      </w:r>
      <w:r>
        <w:t xml:space="preserve"> </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frfkmfmzew</dc:title>
  <dc:creator/>
  <dc:description>High-detail Product Carbon Footprint (PCF) analysis for frfkmfmzew, following GHG Protocol standards and including 2026 LSR updates.</dc:description>
  <dc:language>en</dc:language>
  <cp:keywords/>
  <dcterms:created xsi:type="dcterms:W3CDTF">2026-05-30T11:31:53Z</dcterms:created>
  <dcterms:modified xsi:type="dcterms:W3CDTF">2026-05-30T11:31:53Z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