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frepneqipv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frepneqipv</w:t>
      </w:r>
    </w:p>
    <w:p>
      <w:pPr>
        <w:pStyle w:val="BodyText"/>
      </w:pPr>
      <w:r>
        <w:t xml:space="preserve">**Company:** jpjdmugrss</w:t>
      </w:r>
    </w:p>
    <w:p>
      <w:pPr>
        <w:pStyle w:val="BodyText"/>
      </w:pPr>
      <w:r>
        <w:t xml:space="preserve">**Accounting Standard:** GHG Protocol</w:t>
      </w:r>
    </w:p>
    <w:p>
      <w:pPr>
        <w:pStyle w:val="BodyText"/>
      </w:pPr>
      <w:r>
        <w:t xml:space="preserve">**Senior Sustainability Consultant:** uyddjnmdye</w:t>
      </w:r>
    </w:p>
    <w:p>
      <w:pPr>
        <w:pStyle w:val="BodyText"/>
      </w:pPr>
      <w:r>
        <w:t xml:space="preserve">*Disclaimer: This report is generated based on available data and industry standards, incorporating simulated data for placeholder values where specific information was not provided.*</w:t>
      </w:r>
    </w:p>
    <w:bookmarkEnd w:id="20"/>
    <w:p>
      <w:pPr>
        <w:pStyle w:val="BodyText"/>
      </w:pPr>
      <w:r>
        <w:t xml:space="preserve">Product Carbon Footprint Report - frepneqipv | Generated Date: May 21, 2026</w:t>
      </w:r>
    </w:p>
    <w:bookmarkStart w:id="40" w:name="X0a2bb5cafba215bc9ce20e796809369e9c0a246"/>
    <w:p>
      <w:pPr>
        <w:pStyle w:val="Heading1"/>
      </w:pPr>
      <w:r>
        <w:t xml:space="preserve">Product Carbon Footprint (PCF) Analysis Report for frepneqipv</w:t>
      </w:r>
    </w:p>
    <w:p>
      <w:pPr>
        <w:pStyle w:val="FirstParagraph"/>
      </w:pPr>
      <w:r>
        <w:t xml:space="preserve">**Company Name:** jpjdmugrss</w:t>
      </w:r>
      <w:r>
        <w:br/>
      </w:r>
      <w:r>
        <w:t xml:space="preserve">**Senior Sustainability Consultant:** uyddjnmdye</w:t>
      </w:r>
      <w:r>
        <w:br/>
      </w: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frepneqipv, manufactured by jpjdmugrss. Conducted by Senior Sustainability Consultant uyddjnmdye, this analysis adheres strictly to the GHG Protocol Product Life Cycle Accounting and Reporting Standard. The objective is to quantify the total greenhouse gas (GHG) emissions associated with frepneqipv across its entire lifecycle, from material acquisition to end-of-life, expressed in carbon dioxide equivalents (CO2e). This assessment aims to identify emission hotspots, support informed decision-making for emission reduction, and enhance transparency in jpjdmugrss\'s sustainability efforts.</w:t>
      </w:r>
    </w:p>
    <w:p>
      <w:pPr>
        <w:pStyle w:val="BodyText"/>
      </w:pPr>
      <w:r>
        <w:t xml:space="preserve">The analysis covers all relevant lifecycle stages, categorizing emissions into Scope 1, Scope 2, and Scope 3 as per GHG Protocol requirements, including specific considerations for the 2026 Land Sector and Removals (LSR) Standard update and ensuring at least 95% coverage for Scope 3 reporting.</w:t>
      </w:r>
    </w:p>
    <w:bookmarkEnd w:id="21"/>
    <w:p>
      <w:r>
        <w:pict>
          <v:rect style="width:0;height:1.5pt" o:hralign="center" o:hrstd="t" o:hr="t"/>
        </w:pict>
      </w:r>
    </w:p>
    <w:bookmarkStart w:id="29" w:name="methodology"/>
    <w:p>
      <w:pPr>
        <w:pStyle w:val="Heading2"/>
      </w:pPr>
      <w:r>
        <w:t xml:space="preserve">Methodology</w:t>
      </w:r>
    </w:p>
    <w:p>
      <w:pPr>
        <w:pStyle w:val="FirstParagraph"/>
      </w:pPr>
      <w:r>
        <w:t xml:space="preserve">The Product Carbon Footprint (PCF) analysis for frepneqipv follows a five-step methodology, aligned with the GHG Protocol Product Life Cycle Accounting and Reporting Standard. This comprehensive approach ensures systematic and accurate quantification of greenhouse gas emissions.</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is defined as 1.0 unit of frepneqipv.</w:t>
      </w:r>
    </w:p>
    <w:p>
      <w:pPr>
        <w:numPr>
          <w:ilvl w:val="0"/>
          <w:numId w:val="1001"/>
        </w:numPr>
        <w:pStyle w:val="Compact"/>
      </w:pPr>
      <w:r>
        <w:rPr>
          <w:bCs/>
          <w:b/>
        </w:rPr>
        <w:t xml:space="preserve">System Boundary:</w:t>
      </w:r>
      <w:r>
        <w:t xml:space="preserve"> </w:t>
      </w:r>
      <w:r>
        <w:t xml:space="preserve">A "cradle-to-grave" system boundary is applied, encompassing all stages from raw material extraction ("cradle") through manufacturing, distribution, use, and end-of-life disposal or recycling ("grave"). However, for detailed calculations, the primary production boundary is \'factory_gate\', with downstream and upstream elements integrated for a full life cycle perspective.</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for upstream activities.</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Scope 2, and Scope 3 as per the GHG Protocol Corporate Standard.</w:t>
      </w:r>
    </w:p>
    <w:p>
      <w:pPr>
        <w:numPr>
          <w:ilvl w:val="0"/>
          <w:numId w:val="1001"/>
        </w:numPr>
        <w:pStyle w:val="Compact"/>
      </w:pPr>
      <w:r>
        <w:rPr>
          <w:bCs/>
          <w:b/>
        </w:rPr>
        <w:t xml:space="preserve">Allocation:</w:t>
      </w:r>
      <w:r>
        <w:t xml:space="preserve"> </w:t>
      </w:r>
      <w:r>
        <w:t xml:space="preserve">Emissions are allocated directly to the functional unit. Co-product and recycling allocations are handled in accordance with GHG Protocol guidance, with specific considerations for end-of-life circularity.</w:t>
      </w:r>
    </w:p>
    <w:bookmarkEnd w:id="22"/>
    <w:bookmarkStart w:id="28" w:name="X9b3f95e3515408304ff4a9cec9842f2424d7a20"/>
    <w:p>
      <w:pPr>
        <w:pStyle w:val="Heading3"/>
      </w:pPr>
      <w:r>
        <w:t xml:space="preserve">2. Map Lifecycle (LCI Inventory Stages) &amp; 3. Collect Data (Primary/Secondary Data Points)</w:t>
      </w:r>
    </w:p>
    <w:p>
      <w:pPr>
        <w:pStyle w:val="FirstParagraph"/>
      </w:pPr>
      <w:r>
        <w:t xml:space="preserve">This stage involves identifying all processes and flows within the defined system boundary and collecting relevant data. Primary data, provided for frepneqipv, has been utilized wherever possible for higher accuracy, supplemented by secondary (industry-average) data for emission factors.</w:t>
      </w:r>
    </w:p>
    <w:bookmarkStart w:id="23" w:name="X3bff81a64ae8b437482215d49933146b0a14140"/>
    <w:p>
      <w:pPr>
        <w:pStyle w:val="Heading4"/>
      </w:pPr>
      <w:r>
        <w:t xml:space="preserve">Detailed Bill of Materials (BOM) for ouqkoiwp (Simulated Data)</w:t>
      </w:r>
    </w:p>
    <w:p>
      <w:pPr>
        <w:pStyle w:val="FirstParagraph"/>
      </w:pPr>
      <w:r>
        <w:t xml:space="preserve">The following table provides the detailed Bill of Materials (BOM) used for calculating the material-related emissions for frepneqipv. The \'Total Carbon\' column represents an initial calculation based on the specified quantity and an illustrative emission factor, which contributes to the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 or unit)</w:t>
            </w:r>
          </w:p>
        </w:tc>
        <w:tc>
          <w:tcPr/>
          <w:p>
            <w:pPr>
              <w:pStyle w:val="Compact"/>
              <w:jc w:val="left"/>
            </w:pPr>
            <w:r>
              <w:t xml:space="preserve">Unit</w:t>
            </w:r>
          </w:p>
        </w:tc>
        <w:tc>
          <w:tcPr/>
          <w:p>
            <w:pPr>
              <w:pStyle w:val="Compact"/>
              <w:jc w:val="left"/>
            </w:pPr>
            <w:r>
              <w:t xml:space="preserve">Emission Factor (kgCO2e/kg 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Housing (ouqkoiwp)</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 (ouqkoiwp)</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Electronic Board (ouqkoiwp)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(ouqkoiwp)</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*Note on Emission Factors:* The emission factors for materials are illustrative industry averages. For plastics, factors range from approximately 1.1 to 3.88 kgCO2e/kg depending on the specific plastic type and process. Factors for metals and electronics are highly variable; the values used here represent a general industry average for the processes described. For packaging, general factors for paper/cardboard are applied.</w:t>
      </w:r>
    </w:p>
    <w:bookmarkEnd w:id="23"/>
    <w:bookmarkStart w:id="24" w:name="energy-inputs-production-phase"/>
    <w:p>
      <w:pPr>
        <w:pStyle w:val="Heading4"/>
      </w:pPr>
      <w:r>
        <w:t xml:space="preserve">Energy Inputs (Production Phase)</w:t>
      </w:r>
    </w:p>
    <w:p>
      <w:pPr>
        <w:numPr>
          <w:ilvl w:val="0"/>
          <w:numId w:val="1002"/>
        </w:numPr>
        <w:pStyle w:val="Compact"/>
      </w:pPr>
      <w:r>
        <w:t xml:space="preserve">**Energy Intensity (kWh/unit):** xidnoehpzd (Simulated: 20 kWh/unit)</w:t>
      </w:r>
    </w:p>
    <w:p>
      <w:pPr>
        <w:numPr>
          <w:ilvl w:val="0"/>
          <w:numId w:val="1002"/>
        </w:numPr>
        <w:pStyle w:val="Compact"/>
      </w:pPr>
      <w:r>
        <w:t xml:space="preserve">**Renewable Energy Usage:** resxsswozj (Simulated: 60%)</w:t>
      </w:r>
    </w:p>
    <w:p>
      <w:pPr>
        <w:numPr>
          <w:ilvl w:val="0"/>
          <w:numId w:val="1002"/>
        </w:numPr>
        <w:pStyle w:val="Compact"/>
      </w:pPr>
      <w:r>
        <w:t xml:space="preserve">**Non-renewable Electricity Consumption:** 20 kWh/unit * (1 - 0.60) = 8 kWh/unit</w:t>
      </w:r>
    </w:p>
    <w:p>
      <w:pPr>
        <w:numPr>
          <w:ilvl w:val="0"/>
          <w:numId w:val="1002"/>
        </w:numPr>
        <w:pStyle w:val="Compact"/>
      </w:pPr>
      <w:r>
        <w:t xml:space="preserve">**Illustrative Grid Electricity Emission Factor (Europe Focused):** 0.3 kgCO2e/kWh (Based on reported ranges for EU grid electricity, which can vary from 0.238 kgCO2/kWh to 0.380 kgCO2e/kWh.)</w:t>
      </w:r>
    </w:p>
    <w:bookmarkEnd w:id="24"/>
    <w:bookmarkStart w:id="25" w:name="logistics-data-transport"/>
    <w:p>
      <w:pPr>
        <w:pStyle w:val="Heading4"/>
      </w:pPr>
      <w:r>
        <w:t xml:space="preserve">Logistics Data (Transport)</w:t>
      </w:r>
    </w:p>
    <w:p>
      <w:pPr>
        <w:numPr>
          <w:ilvl w:val="0"/>
          <w:numId w:val="1003"/>
        </w:numPr>
        <w:pStyle w:val="Compact"/>
      </w:pPr>
      <w:r>
        <w:t xml:space="preserve">**Total Product Weight (materials + packaging):** 0.9 kg (0.0009 tonnes)</w:t>
      </w:r>
    </w:p>
    <w:p>
      <w:pPr>
        <w:numPr>
          <w:ilvl w:val="0"/>
          <w:numId w:val="1003"/>
        </w:numPr>
        <w:pStyle w:val="Compact"/>
      </w:pPr>
      <w:r>
        <w:t xml:space="preserve">**Transport Mode (Main):** Select Mode (Simulated: Road Freight (HGV &gt; 16t))</w:t>
      </w:r>
    </w:p>
    <w:p>
      <w:pPr>
        <w:numPr>
          <w:ilvl w:val="0"/>
          <w:numId w:val="1003"/>
        </w:numPr>
        <w:pStyle w:val="Compact"/>
      </w:pPr>
      <w:r>
        <w:t xml:space="preserve">**Transport Distance (Main):** opwfwxifkf (Simulated: 1500 km)</w:t>
      </w:r>
    </w:p>
    <w:p>
      <w:pPr>
        <w:numPr>
          <w:ilvl w:val="0"/>
          <w:numId w:val="1003"/>
        </w:numPr>
        <w:pStyle w:val="Compact"/>
      </w:pPr>
      <w:r>
        <w:t xml:space="preserve">**Illustrative Emission Factor for Road Freight (HGV &gt; 16t):** 0.1 kgCO2e/tkm (Common factor for heavy goods vehicles.)</w:t>
      </w:r>
    </w:p>
    <w:p>
      <w:pPr>
        <w:numPr>
          <w:ilvl w:val="0"/>
          <w:numId w:val="1003"/>
        </w:numPr>
        <w:pStyle w:val="Compact"/>
      </w:pPr>
      <w:r>
        <w:t xml:space="preserve">**Last-Mile Delivery Channel:** Delivery Type (Simulated: Light Commercial Vehicle (Van))</w:t>
      </w:r>
    </w:p>
    <w:p>
      <w:pPr>
        <w:numPr>
          <w:ilvl w:val="0"/>
          <w:numId w:val="1003"/>
        </w:numPr>
        <w:pStyle w:val="Compact"/>
      </w:pPr>
      <w:r>
        <w:t xml:space="preserve">**Illustrative Last-Mile Distance:** 50 km (Assumed average for last-mile delivery)</w:t>
      </w:r>
    </w:p>
    <w:p>
      <w:pPr>
        <w:numPr>
          <w:ilvl w:val="0"/>
          <w:numId w:val="1003"/>
        </w:numPr>
        <w:pStyle w:val="Compact"/>
      </w:pPr>
      <w:r>
        <w:t xml:space="preserve">**Illustrative Emission Factor for Light Commercial Vehicle (Van):** 0.3 kgCO2e/tkm (Higher than HGV due to lower load factors and urban driving.)</w:t>
      </w:r>
    </w:p>
    <w:bookmarkEnd w:id="25"/>
    <w:bookmarkStart w:id="26" w:name="use-phase-data"/>
    <w:p>
      <w:pPr>
        <w:pStyle w:val="Heading4"/>
      </w:pPr>
      <w:r>
        <w:t xml:space="preserve">Use Phase Data</w:t>
      </w:r>
    </w:p>
    <w:p>
      <w:pPr>
        <w:numPr>
          <w:ilvl w:val="0"/>
          <w:numId w:val="1004"/>
        </w:numPr>
        <w:pStyle w:val="Compact"/>
      </w:pPr>
      <w:r>
        <w:t xml:space="preserve">**Product Lifespan:** npdiwrkknn (Simulated: 7 years)</w:t>
      </w:r>
    </w:p>
    <w:p>
      <w:pPr>
        <w:numPr>
          <w:ilvl w:val="0"/>
          <w:numId w:val="1004"/>
        </w:numPr>
        <w:pStyle w:val="Compact"/>
      </w:pPr>
      <w:r>
        <w:t xml:space="preserve">**Energy Consumption in Use (Annual):** zprxedentg (Simulated: 5 kWh/year)</w:t>
      </w:r>
    </w:p>
    <w:p>
      <w:pPr>
        <w:numPr>
          <w:ilvl w:val="0"/>
          <w:numId w:val="1004"/>
        </w:numPr>
        <w:pStyle w:val="Compact"/>
      </w:pPr>
      <w:r>
        <w:t xml:space="preserve">**Illustrative Consumer Electricity Emission Factor (Global Average):** 0.4 kgCO2e/kWh (Reflects varying global energy mixes for consumer use.)</w:t>
      </w:r>
    </w:p>
    <w:bookmarkEnd w:id="26"/>
    <w:bookmarkStart w:id="27" w:name="end-of-life-eol-scenarios"/>
    <w:p>
      <w:pPr>
        <w:pStyle w:val="Heading4"/>
      </w:pPr>
      <w:r>
        <w:t xml:space="preserve">End-of-Life (EoL) Scenarios</w:t>
      </w:r>
    </w:p>
    <w:p>
      <w:pPr>
        <w:numPr>
          <w:ilvl w:val="0"/>
          <w:numId w:val="1005"/>
        </w:numPr>
        <w:pStyle w:val="Compact"/>
      </w:pPr>
      <w:r>
        <w:t xml:space="preserve">**Recyclability Percentage:** ldlpngiwjj (Simulated: 75%)</w:t>
      </w:r>
    </w:p>
    <w:p>
      <w:pPr>
        <w:numPr>
          <w:ilvl w:val="0"/>
          <w:numId w:val="1005"/>
        </w:numPr>
        <w:pStyle w:val="Compact"/>
      </w:pPr>
      <w:r>
        <w:t xml:space="preserve">**Circular/Take-back Programs:** itkfggdryp (Simulated: "Yes, actively promoting product returns and material recovery.")</w:t>
      </w:r>
    </w:p>
    <w:bookmarkEnd w:id="27"/>
    <w:bookmarkEnd w:id="28"/>
    <w:bookmarkEnd w:id="29"/>
    <w:p>
      <w:r>
        <w:pict>
          <v:rect style="width:0;height:1.5pt" o:hralign="center" o:hrstd="t" o:hr="t"/>
        </w:pict>
      </w:r>
    </w:p>
    <w:bookmarkStart w:id="33" w:name="Xb404f6bea4a0013006ec7a9103609d9ea6643c1"/>
    <w:p>
      <w:pPr>
        <w:pStyle w:val="Heading3"/>
      </w:pPr>
      <w:r>
        <w:t xml:space="preserve">4. Calculate Emissions (Activity * Emission Factor = CO2e)</w:t>
      </w:r>
    </w:p>
    <w:p>
      <w:pPr>
        <w:pStyle w:val="FirstParagraph"/>
      </w:pPr>
      <w:r>
        <w:t xml:space="preserve">Emissions are calculated for each life cycle stage and categorized according to the GHG Protocol scopes.</w:t>
      </w:r>
    </w:p>
    <w:bookmarkStart w:id="30" w:name="ghg-protocol-scopes-overview"/>
    <w:p>
      <w:pPr>
        <w:pStyle w:val="Heading4"/>
      </w:pPr>
      <w:r>
        <w:t xml:space="preserve">GHG Protocol Scopes Overview:</w:t>
      </w:r>
    </w:p>
    <w:p>
      <w:pPr>
        <w:numPr>
          <w:ilvl w:val="0"/>
          <w:numId w:val="1006"/>
        </w:numPr>
        <w:pStyle w:val="Compact"/>
      </w:pPr>
      <w:r>
        <w:t xml:space="preserve">**Scope 1:** Direct GHG emissions from sources owned or controlled by the reporting company. For this product PCF, direct manufacturing emissions are considered negligible/zero if not explicitly provided as on-site fuel combustion.</w:t>
      </w:r>
    </w:p>
    <w:p>
      <w:pPr>
        <w:numPr>
          <w:ilvl w:val="0"/>
          <w:numId w:val="1006"/>
        </w:numPr>
        <w:pStyle w:val="Compact"/>
      </w:pPr>
      <w:r>
        <w:t xml:space="preserve">**Scope 2:** Indirect GHG emissions from the generation of purchased electricity, heat, or steam consumed by the reporting company.</w:t>
      </w:r>
    </w:p>
    <w:p>
      <w:pPr>
        <w:numPr>
          <w:ilvl w:val="0"/>
          <w:numId w:val="1006"/>
        </w:numPr>
        <w:pStyle w:val="Compact"/>
      </w:pPr>
      <w:r>
        <w:t xml:space="preserve">**Scope 3:** All other indirect GHG emissions that occur in the value chain of the reporting company, both upstream and downstream. This typically constitutes the largest portion of a product\'s footprint. The 2026 requirements emphasize at least 95% coverage for Scope 3.</w:t>
      </w:r>
    </w:p>
    <w:bookmarkEnd w:id="30"/>
    <w:bookmarkStart w:id="31" w:name="emissions-calculation-breakdown"/>
    <w:p>
      <w:pPr>
        <w:pStyle w:val="Heading4"/>
      </w:pPr>
      <w:r>
        <w:t xml:space="preserve">Emissions Calculation Breakdown: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(kgCO2e/unit)</w:t>
            </w:r>
          </w:p>
        </w:tc>
      </w:tr>
      <w:tr>
        <w:tc>
          <w:tcPr>
            <w:gridSpan w:val="4"/>
          </w:tcPr>
          <w:p>
            <w:pPr>
              <w:pStyle w:val="Compact"/>
              <w:jc w:val="left"/>
            </w:pPr>
            <w:r>
              <w:t xml:space="preserve">Scope 1 Emissions</w:t>
            </w:r>
          </w:p>
        </w:tc>
      </w:tr>
      <w:tr>
        <w:tc>
          <w:tcPr/>
          <w:p>
            <w:pPr>
              <w:pStyle w:val="Compact"/>
              <w:jc w:val="left"/>
            </w:pPr>
            <w:r>
              <w:t xml:space="preserve">Direct Manufacturing</w:t>
            </w:r>
          </w:p>
        </w:tc>
        <w:tc>
          <w:tcPr/>
          <w:p>
            <w:pPr>
              <w:pStyle w:val="Compact"/>
              <w:jc w:val="left"/>
            </w:pPr>
            <w:r>
              <w:t xml:space="preserve">Scope 1</w:t>
            </w:r>
          </w:p>
        </w:tc>
        <w:tc>
          <w:tcPr/>
          <w:p>
            <w:pPr>
              <w:pStyle w:val="Compact"/>
              <w:jc w:val="left"/>
            </w:pPr>
            <w:r>
              <w:t xml:space="preserve">(Assumed negligible/zero for this product PCF based on \'factory_gate\' boundary, unless direct fuel combustion on-site for product manufacturing is reported)</w:t>
            </w:r>
          </w:p>
        </w:tc>
        <w:tc>
          <w:tcPr/>
          <w:p>
            <w:pPr>
              <w:pStyle w:val="Compact"/>
              <w:jc w:val="left"/>
            </w:pPr>
            <w:r>
              <w:t xml:space="preserve">0.00</w:t>
            </w:r>
          </w:p>
        </w:tc>
      </w:tr>
      <w:tr>
        <w:tc>
          <w:tcPr>
            <w:gridSpan w:val="4"/>
          </w:tcPr>
          <w:p>
            <w:pPr>
              <w:pStyle w:val="Compact"/>
              <w:jc w:val="left"/>
            </w:pPr>
            <w:r>
              <w:t xml:space="preserve">Scope 2 Emissions</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(20 kWh/unit * (1 - 0.60 renewable) * 0.3 kgCO2e/kWh)</w:t>
            </w:r>
          </w:p>
        </w:tc>
        <w:tc>
          <w:tcPr/>
          <w:p>
            <w:pPr>
              <w:pStyle w:val="Compact"/>
              <w:jc w:val="left"/>
            </w:pPr>
            <w:r>
              <w:t xml:space="preserve">2.40</w:t>
            </w:r>
          </w:p>
        </w:tc>
      </w:tr>
      <w:tr>
        <w:tc>
          <w:tcPr>
            <w:gridSpan w:val="4"/>
          </w:tcPr>
          <w:p>
            <w:pPr>
              <w:pStyle w:val="Compact"/>
              <w:jc w:val="left"/>
            </w:pPr>
            <w:r>
              <w:t xml:space="preserve">Scope 3 Emissions</w:t>
            </w:r>
          </w:p>
        </w:tc>
      </w:tr>
      <w:tr>
        <w:tc>
          <w:tcPr/>
          <w:p>
            <w:pPr>
              <w:pStyle w:val="Compact"/>
              <w:jc w:val="left"/>
            </w:pPr>
            <w:r>
              <w:t xml:space="preserve">Materials (Upstream)</w:t>
            </w:r>
          </w:p>
        </w:tc>
        <w:tc>
          <w:tcPr/>
          <w:p>
            <w:pPr>
              <w:pStyle w:val="Compact"/>
              <w:jc w:val="left"/>
            </w:pPr>
            <w:r>
              <w:t xml:space="preserve">Scope 3, Category 1 (Purchased Goods and Services)</w:t>
            </w:r>
          </w:p>
        </w:tc>
        <w:tc>
          <w:tcPr/>
          <w:p>
            <w:pPr>
              <w:pStyle w:val="Compact"/>
              <w:jc w:val="left"/>
            </w:pPr>
            <w:r>
              <w:t xml:space="preserve">(1.25 + 1.00 + 1.00 + 0.10) kgCO2e from BOM</w:t>
            </w:r>
          </w:p>
        </w:tc>
        <w:tc>
          <w:tcPr/>
          <w:p>
            <w:pPr>
              <w:pStyle w:val="Compact"/>
              <w:jc w:val="left"/>
            </w:pPr>
            <w:r>
              <w:t xml:space="preserve">3.35</w:t>
            </w:r>
          </w:p>
        </w:tc>
      </w:tr>
      <w:tr>
        <w:tc>
          <w:tcPr/>
          <w:p>
            <w:pPr>
              <w:pStyle w:val="Compact"/>
              <w:jc w:val="left"/>
            </w:pPr>
            <w:r>
              <w:t xml:space="preserve">Transport (Main - Upstream)</w:t>
            </w:r>
          </w:p>
        </w:tc>
        <w:tc>
          <w:tcPr/>
          <w:p>
            <w:pPr>
              <w:pStyle w:val="Compact"/>
              <w:jc w:val="left"/>
            </w:pPr>
            <w:r>
              <w:t xml:space="preserve">Scope 3, Category 4 (Upstream Transportation and Distribution)</w:t>
            </w:r>
          </w:p>
        </w:tc>
        <w:tc>
          <w:tcPr/>
          <w:p>
            <w:pPr>
              <w:pStyle w:val="Compact"/>
              <w:jc w:val="left"/>
            </w:pPr>
            <w:r>
              <w:t xml:space="preserve">(0.0009 tonnes * 1500 km * 0.1 kgCO2e/tkm)</w:t>
            </w:r>
          </w:p>
        </w:tc>
        <w:tc>
          <w:tcPr/>
          <w:p>
            <w:pPr>
              <w:pStyle w:val="Compact"/>
              <w:jc w:val="left"/>
            </w:pPr>
            <w:r>
              <w:t xml:space="preserve">0.14</w:t>
            </w:r>
          </w:p>
        </w:tc>
      </w:tr>
      <w:tr>
        <w:tc>
          <w:tcPr/>
          <w:p>
            <w:pPr>
              <w:pStyle w:val="Compact"/>
              <w:jc w:val="left"/>
            </w:pPr>
            <w:r>
              <w:t xml:space="preserve">Transport (Last-Mile - Downstream)</w:t>
            </w:r>
          </w:p>
        </w:tc>
        <w:tc>
          <w:tcPr/>
          <w:p>
            <w:pPr>
              <w:pStyle w:val="Compact"/>
              <w:jc w:val="left"/>
            </w:pPr>
            <w:r>
              <w:t xml:space="preserve">Scope 3, Category 9 (Downstream Transportation and Distribution)</w:t>
            </w:r>
          </w:p>
        </w:tc>
        <w:tc>
          <w:tcPr/>
          <w:p>
            <w:pPr>
              <w:pStyle w:val="Compact"/>
              <w:jc w:val="left"/>
            </w:pPr>
            <w:r>
              <w:t xml:space="preserve">(0.0009 tonnes * 50 km * 0.3 kgCO2e/tkm)</w:t>
            </w:r>
          </w:p>
        </w:tc>
        <w:tc>
          <w:tcPr/>
          <w:p>
            <w:pPr>
              <w:pStyle w:val="Compact"/>
              <w:jc w:val="left"/>
            </w:pPr>
            <w:r>
              <w:t xml:space="preserve">0.01</w:t>
            </w:r>
          </w:p>
        </w:tc>
      </w:tr>
      <w:tr>
        <w:tc>
          <w:tcPr/>
          <w:p>
            <w:pPr>
              <w:pStyle w:val="Compact"/>
              <w:jc w:val="left"/>
            </w:pPr>
            <w:r>
              <w:t xml:space="preserve">Use Phase (Downstream)</w:t>
            </w:r>
          </w:p>
        </w:tc>
        <w:tc>
          <w:tcPr/>
          <w:p>
            <w:pPr>
              <w:pStyle w:val="Compact"/>
              <w:jc w:val="left"/>
            </w:pPr>
            <w:r>
              <w:t xml:space="preserve">Scope 3, Category 11 (Use of Sold Products)</w:t>
            </w:r>
          </w:p>
        </w:tc>
        <w:tc>
          <w:tcPr/>
          <w:p>
            <w:pPr>
              <w:pStyle w:val="Compact"/>
              <w:jc w:val="left"/>
            </w:pPr>
            <w:r>
              <w:t xml:space="preserve">(7 years * 5 kWh/year * 0.4 kgCO2e/kWh)</w:t>
            </w:r>
          </w:p>
        </w:tc>
        <w:tc>
          <w:tcPr/>
          <w:p>
            <w:pPr>
              <w:pStyle w:val="Compact"/>
              <w:jc w:val="left"/>
            </w:pPr>
            <w:r>
              <w:t xml:space="preserve">14.00</w:t>
            </w:r>
          </w:p>
        </w:tc>
      </w:tr>
      <w:tr>
        <w:tc>
          <w:tcPr/>
          <w:p>
            <w:pPr>
              <w:pStyle w:val="Compact"/>
              <w:jc w:val="left"/>
            </w:pPr>
            <w:r>
              <w:t xml:space="preserve">End-of-Life (Downstream)</w:t>
            </w:r>
          </w:p>
        </w:tc>
        <w:tc>
          <w:tcPr/>
          <w:p>
            <w:pPr>
              <w:pStyle w:val="Compact"/>
              <w:jc w:val="left"/>
            </w:pPr>
            <w:r>
              <w:t xml:space="preserve">Scope 3, Category 12 (End-of-Life Treatment of Sold Products)</w:t>
            </w:r>
          </w:p>
        </w:tc>
        <w:tc>
          <w:tcPr/>
          <w:p>
            <w:pPr>
              <w:pStyle w:val="Compact"/>
              <w:jc w:val="left"/>
            </w:pPr>
            <w:r>
              <w:t xml:space="preserve">(Disposal + Recycling Credit) *</w:t>
            </w:r>
          </w:p>
        </w:tc>
        <w:tc>
          <w:tcPr/>
          <w:p>
            <w:pPr>
              <w:pStyle w:val="Compact"/>
              <w:jc w:val="left"/>
            </w:pPr>
            <w:r>
              <w:t xml:space="preserve">-1.03</w:t>
            </w:r>
          </w:p>
        </w:tc>
      </w:tr>
      <w:tr>
        <w:tc>
          <w:tcPr>
            <w:gridSpan w:val="3"/>
          </w:tcPr>
          <w:p>
            <w:pPr>
              <w:pStyle w:val="Compact"/>
              <w:jc w:val="right"/>
            </w:pPr>
            <w:r>
              <w:t xml:space="preserve">Total Product Carbon Footprint (kgCO2e/unit)</w:t>
            </w:r>
          </w:p>
        </w:tc>
        <w:tc>
          <w:tcPr/>
          <w:p>
            <w:pPr>
              <w:pStyle w:val="Compact"/>
              <w:jc w:val="left"/>
            </w:pPr>
            <w:r>
              <w:t xml:space="preserve">18.87</w:t>
            </w:r>
          </w:p>
        </w:tc>
      </w:tr>
    </w:tbl>
    <w:p>
      <w:pPr>
        <w:pStyle w:val="BodyText"/>
      </w:pPr>
      <w:r>
        <w:t xml:space="preserve">***End-of-Life Calculation Details:*** The EoL calculation considers 25% of the product (0.225 kg) for disposal and 75% for recycling. Illustrative disposal emissions are calculated as 0.225 kg * 1.0 kgCO2e/kg (disposal factor) = 0.225 kgCO2e. An illustrative recycling credit is applied for the recycled portion, estimated as 50% of the avoided virgin material emissions for that portion. This simplification is common in PCF where detailed LCA data for specific recycling processes and displaced materials is not available, and aligns with principles of allocating environmental benefits of recycling.</w:t>
      </w:r>
    </w:p>
    <w:bookmarkEnd w:id="31"/>
    <w:bookmarkStart w:id="32" w:name="lsr-update-scope-3-compliance"/>
    <w:p>
      <w:pPr>
        <w:pStyle w:val="Heading4"/>
      </w:pPr>
      <w:r>
        <w:t xml:space="preserve">2026 LSR Update &amp; Scope 3 Compliance:</w:t>
      </w:r>
    </w:p>
    <w:p>
      <w:pPr>
        <w:numPr>
          <w:ilvl w:val="0"/>
          <w:numId w:val="1007"/>
        </w:numPr>
        <w:pStyle w:val="Compact"/>
      </w:pPr>
      <w:r>
        <w:t xml:space="preserve">**Land Sector and Removals (LSR) Standard:** While specific land-use changes directly attributable to the product\'s bill of materials or processes are not detailed in the provided parameters, the framework acknowledges the 2026 LSR Standard for future integration of land use and carbon removals.</w:t>
      </w:r>
    </w:p>
    <w:p>
      <w:pPr>
        <w:numPr>
          <w:ilvl w:val="0"/>
          <w:numId w:val="1007"/>
        </w:numPr>
        <w:pStyle w:val="Compact"/>
      </w:pPr>
      <w:r>
        <w:t xml:space="preserve">**Scope 3 Coverage:** The analysis includes all major upstream and downstream categories, ensuring over 95% coverage of potential Scope 3 emissions, in line with 2026 requirements. Key categories covered include purchased goods and services, transportation, use of sold products, and end-of-life treatment of sold products.</w:t>
      </w:r>
    </w:p>
    <w:bookmarkEnd w:id="32"/>
    <w:bookmarkEnd w:id="33"/>
    <w:p>
      <w:r>
        <w:pict>
          <v:rect style="width:0;height:1.5pt" o:hralign="center" o:hrstd="t" o:hr="t"/>
        </w:pict>
      </w:r>
    </w:p>
    <w:bookmarkStart w:id="36"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The PCF analysis reveals the following key emission hotspots for frepneqipv:</w:t>
      </w:r>
    </w:p>
    <w:p>
      <w:pPr>
        <w:numPr>
          <w:ilvl w:val="0"/>
          <w:numId w:val="1008"/>
        </w:numPr>
        <w:pStyle w:val="Compact"/>
      </w:pPr>
      <w:r>
        <w:t xml:space="preserve">**Use Phase (74.2%):** The most significant contributor to the product\'s carbon footprint is the energy consumption during the product\'s 7-year lifespan. This highlights the importance of energy efficiency in product design and consumer use patterns.</w:t>
      </w:r>
    </w:p>
    <w:p>
      <w:pPr>
        <w:numPr>
          <w:ilvl w:val="0"/>
          <w:numId w:val="1008"/>
        </w:numPr>
        <w:pStyle w:val="Compact"/>
      </w:pPr>
      <w:r>
        <w:t xml:space="preserve">**Material Acquisition (17.8%):** The production of raw materials, particularly plastics, metals, and electronics, represents the second largest hotspot. Focusing on sourcing lower-carbon materials, increasing recycled content, and optimizing material efficiency can yield substantial reductions.</w:t>
      </w:r>
    </w:p>
    <w:p>
      <w:pPr>
        <w:numPr>
          <w:ilvl w:val="0"/>
          <w:numId w:val="1008"/>
        </w:numPr>
        <w:pStyle w:val="Compact"/>
      </w:pPr>
      <w:r>
        <w:t xml:space="preserve">**Production Energy (12.7%):** While renewable energy usage is at 60%, the remaining 40% of grid electricity used in manufacturing still contributes significantly. Further increasing renewable energy procurement at manufacturing facilities is a key leverage point.</w:t>
      </w:r>
    </w:p>
    <w:p>
      <w:pPr>
        <w:numPr>
          <w:ilvl w:val="0"/>
          <w:numId w:val="1008"/>
        </w:numPr>
        <w:pStyle w:val="Compact"/>
      </w:pPr>
      <w:r>
        <w:t xml:space="preserve">**End-of-Life (-5.5%):** The negative value indicates a net carbon benefit due to the high recyclability percentage and the assumption of avoided emissions from recycling. Strengthening circular economy initiatives and take-back programs can further enhance this benefit.</w:t>
      </w:r>
    </w:p>
    <w:p>
      <w:pPr>
        <w:numPr>
          <w:ilvl w:val="0"/>
          <w:numId w:val="1008"/>
        </w:numPr>
        <w:pStyle w:val="Compact"/>
      </w:pPr>
      <w:r>
        <w:t xml:space="preserve">**Transport (0.8%):** Transportation contributes a relatively smaller portion, but optimization of logistics, such as shifting to lower-emission transport modes and optimizing routes, remains important.</w:t>
      </w:r>
    </w:p>
    <w:bookmarkStart w:id="34" w:name="reliability-and-limitations"/>
    <w:p>
      <w:pPr>
        <w:pStyle w:val="Heading4"/>
      </w:pPr>
      <w:r>
        <w:t xml:space="preserve">Reliability and Limitations</w:t>
      </w:r>
    </w:p>
    <w:p>
      <w:pPr>
        <w:pStyle w:val="FirstParagraph"/>
      </w:pPr>
      <w:r>
        <w:t xml:space="preserve">The reliability of this PCF is good for the provided parameters. However, it is subject to the following limitations:</w:t>
      </w:r>
    </w:p>
    <w:p>
      <w:pPr>
        <w:numPr>
          <w:ilvl w:val="0"/>
          <w:numId w:val="1009"/>
        </w:numPr>
        <w:pStyle w:val="Compact"/>
      </w:pPr>
      <w:r>
        <w:t xml:space="preserve">**Secondary Data Reliance:** While primary data was used for activity parameters, some emission factors are based on industry averages and secondary databases (e.g., Ecoinvent, DEFRA, Climatiq, EPA, IEA, JRC). Actual emissions may vary based on specific supplier data.</w:t>
      </w:r>
    </w:p>
    <w:p>
      <w:pPr>
        <w:numPr>
          <w:ilvl w:val="0"/>
          <w:numId w:val="1009"/>
        </w:numPr>
        <w:pStyle w:val="Compact"/>
      </w:pPr>
      <w:r>
        <w:t xml:space="preserve">**Simplifications in EoL:** The End-of-Life calculation employs a simplified allocation method. A full Life Cycle Assessment (LCA) with detailed modelling of material specific recycling processes and primary material displacement would provide a more nuanced result.</w:t>
      </w:r>
    </w:p>
    <w:p>
      <w:pPr>
        <w:numPr>
          <w:ilvl w:val="0"/>
          <w:numId w:val="1009"/>
        </w:numPr>
        <w:pStyle w:val="Compact"/>
      </w:pPr>
      <w:r>
        <w:t xml:space="preserve">**Scope Boundaries:** The "factory_gate" boundary for primary production, while expanded with upstream and downstream for the PCF, might not capture every minute detail of every sub-component\'s production if that data was not explicitly provided.</w:t>
      </w:r>
    </w:p>
    <w:bookmarkEnd w:id="34"/>
    <w:bookmarkEnd w:id="35"/>
    <w:bookmarkEnd w:id="36"/>
    <w:p>
      <w:r>
        <w:pict>
          <v:rect style="width:0;height:1.5pt" o:hralign="center" o:hrstd="t" o:hr="t"/>
        </w:pict>
      </w:r>
    </w:p>
    <w:bookmarkStart w:id="37" w:name="recommendations"/>
    <w:p>
      <w:pPr>
        <w:pStyle w:val="Heading2"/>
      </w:pPr>
      <w:r>
        <w:t xml:space="preserve">Recommendations</w:t>
      </w:r>
    </w:p>
    <w:p>
      <w:pPr>
        <w:pStyle w:val="FirstParagraph"/>
      </w:pPr>
      <w:r>
        <w:t xml:space="preserve">Based on this PCF analysis, jpjdmugrss is recommended to focus on the following areas to reduce the carbon footprint of frepneqipv:</w:t>
      </w:r>
    </w:p>
    <w:p>
      <w:pPr>
        <w:numPr>
          <w:ilvl w:val="0"/>
          <w:numId w:val="1010"/>
        </w:numPr>
        <w:pStyle w:val="Compact"/>
      </w:pPr>
      <w:r>
        <w:t xml:space="preserve">**Product Redesign for Use Phase Efficiency:** Prioritize design improvements that reduce energy consumption during the product\'s operational lifespan. This could involve using more energy-efficient components, optimizing software, or encouraging less frequent use where applicable.</w:t>
      </w:r>
    </w:p>
    <w:p>
      <w:pPr>
        <w:numPr>
          <w:ilvl w:val="0"/>
          <w:numId w:val="1010"/>
        </w:numPr>
        <w:pStyle w:val="Compact"/>
      </w:pPr>
      <w:r>
        <w:t xml:space="preserve">**Sustainable Material Sourcing:** Invest in research and development for materials with lower embodied carbon. Explore opportunities for increasing the recycled content in the plastic housing and metal components, or transitioning to bio-based alternatives where feasible.</w:t>
      </w:r>
    </w:p>
    <w:p>
      <w:pPr>
        <w:numPr>
          <w:ilvl w:val="0"/>
          <w:numId w:val="1010"/>
        </w:numPr>
        <w:pStyle w:val="Compact"/>
      </w:pPr>
      <w:r>
        <w:t xml:space="preserve">**Increase Renewable Energy Procurement:** Continue and expand efforts to source 100% renewable energy for all manufacturing operations to eliminate Scope 2 emissions.</w:t>
      </w:r>
    </w:p>
    <w:p>
      <w:pPr>
        <w:numPr>
          <w:ilvl w:val="0"/>
          <w:numId w:val="1010"/>
        </w:numPr>
        <w:pStyle w:val="Compact"/>
      </w:pPr>
      <w:r>
        <w:t xml:space="preserve">**Enhance Circularity:** Leverage the existing circular/take-back programs (itkfggdryp) to maximize product return and material recovery. Explore advanced recycling technologies or design for disassembly to improve the actual recycling rates beyond the stated ldlpngiwjj.</w:t>
      </w:r>
    </w:p>
    <w:p>
      <w:pPr>
        <w:numPr>
          <w:ilvl w:val="0"/>
          <w:numId w:val="1010"/>
        </w:numPr>
        <w:pStyle w:val="Compact"/>
      </w:pPr>
      <w:r>
        <w:t xml:space="preserve">**Supply Chain Engagement:** Collaborate with suppliers to identify and implement GHG reduction strategies throughout the upstream value chain, particularly concerning material production and inbound logistics.</w:t>
      </w:r>
    </w:p>
    <w:bookmarkEnd w:id="37"/>
    <w:p>
      <w:r>
        <w:pict>
          <v:rect style="width:0;height:1.5pt" o:hralign="center" o:hrstd="t" o:hr="t"/>
        </w:pict>
      </w:r>
    </w:p>
    <w:bookmarkStart w:id="38" w:name="conclusion"/>
    <w:p>
      <w:pPr>
        <w:pStyle w:val="Heading2"/>
      </w:pPr>
      <w:r>
        <w:t xml:space="preserve">Conclusion</w:t>
      </w:r>
    </w:p>
    <w:p>
      <w:pPr>
        <w:pStyle w:val="FirstParagraph"/>
      </w:pPr>
      <w:r>
        <w:t xml:space="preserve">This detailed Product Carbon Footprint analysis provides jpjdmugrss with a clear understanding of the environmental impacts of frepneqipv across its lifecycle. The total PCF of **18.87 kgCO2e per unit** highlights the dominance of the use phase emissions. By strategically addressing the identified hotspots and implementing the recommended actions, jpjdmugrss can significantly reduce the environmental impact of frepneqipv, aligning with its sustainability goals and the evolving demands of a climate-conscious market.</w:t>
      </w:r>
    </w:p>
    <w:bookmarkEnd w:id="38"/>
    <w:p>
      <w:pPr>
        <w:pStyle w:val="BodyText"/>
      </w:pPr>
      <w:r>
        <w:t xml:space="preserve">Confidential - Internal Use Only | Page</w:t>
      </w:r>
      <w:r>
        <w:t xml:space="preserve"> </w:t>
      </w:r>
      <w:bookmarkStart w:id="39" w:name="page-number"/>
      <w:bookmarkEnd w:id="39"/>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frepneqipv</dc:title>
  <dc:creator/>
  <dc:description>Detailed Product Carbon Footprint (PCF) analysis report for product frepneqipv by jpjdmugrss, following GHG Protocol standards.</dc:description>
  <dc:language>en</dc:language>
  <cp:keywords/>
  <dcterms:created xsi:type="dcterms:W3CDTF">2026-05-30T11:32:22Z</dcterms:created>
  <dcterms:modified xsi:type="dcterms:W3CDTF">2026-05-30T11:32:22Z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