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fqftlsytrx</w:t>
      </w:r>
      <w:r>
        <w:t xml:space="preserve"> </w:t>
      </w:r>
      <w:r>
        <w:t xml:space="preserve">-</w:t>
      </w:r>
      <w:r>
        <w:t xml:space="preserve"> </w:t>
      </w:r>
      <w:r>
        <w:t xml:space="preserve">xtsytjijyz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qftlsytrx"/>
    <w:p>
      <w:pPr>
        <w:pStyle w:val="Heading2"/>
      </w:pPr>
      <w:r>
        <w:t xml:space="preserve">Product: fqftlsytrx</w:t>
      </w:r>
    </w:p>
    <w:p>
      <w:pPr>
        <w:pStyle w:val="FirstParagraph"/>
      </w:pPr>
      <w:r>
        <w:rPr>
          <w:bCs/>
          <w:b/>
        </w:rPr>
        <w:t xml:space="preserve">Company:</w:t>
      </w:r>
      <w:r>
        <w:t xml:space="preserve"> </w:t>
      </w:r>
      <w:r>
        <w:t xml:space="preserve">xtsytjijyz</w:t>
      </w:r>
    </w:p>
    <w:p>
      <w:pPr>
        <w:pStyle w:val="BodyText"/>
      </w:pPr>
      <w:r>
        <w:rPr>
          <w:bCs/>
          <w:b/>
        </w:rPr>
        <w:t xml:space="preserve">Senior Sustainability Consultant:</w:t>
      </w:r>
      <w:r>
        <w:t xml:space="preserve"> </w:t>
      </w:r>
      <w:r>
        <w:t xml:space="preserve">qmlgxppzvg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values are illustrative where primary data was not directly provided for all parameters.</w:t>
      </w:r>
    </w:p>
    <w:p>
      <w:pPr>
        <w:pStyle w:val="BodyText"/>
      </w:pPr>
      <w:r>
        <w:t xml:space="preserve">Generated Date: May 26, 2026</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fqftlsytrx, manufactured for xtsytjijyz. Conducted by Senior Sustainability Consultant qmlgxppzvg, the analysis adheres to the Greenhouse Gas (GHG) Protocol standards, including considerations for the 2026 Land Sector and Removals (LSR) Standard update and stringent Scope 3 coverage requirements. The PCF quantifies the total greenhouse gas emissions associated with the product\'s lifecycle, from raw material extraction to end-of-life, providing critical insights into environmental hotspots and opportunities for emissions reduction.</w:t>
      </w:r>
    </w:p>
    <w:p>
      <w:pPr>
        <w:pStyle w:val="BodyText"/>
      </w:pPr>
      <w:r>
        <w:t xml:space="preserve">The total Product Carbon Footprint for one functional unit of fqftlsytrx is calculated to be approximately 40.28 kg CO2e, with the majority of emissions attributed to the Use Phase and material production. This detailed breakdown aims to support xtsytjijyz in making informed decisions for sustainable product development and supply chain management.</w:t>
      </w:r>
    </w:p>
    <w:bookmarkEnd w:id="23"/>
    <w:p>
      <w:r>
        <w:pict>
          <v:rect style="width:0;height:1.5pt" o:hralign="center" o:hrstd="t" o:hr="t"/>
        </w:pict>
      </w:r>
    </w:p>
    <w:bookmarkStart w:id="24" w:name="introduction"/>
    <w:p>
      <w:pPr>
        <w:pStyle w:val="Heading2"/>
      </w:pPr>
      <w:r>
        <w:t xml:space="preserve">1. Introduction</w:t>
      </w:r>
    </w:p>
    <w:p>
      <w:pPr>
        <w:pStyle w:val="FirstParagraph"/>
      </w:pPr>
      <w:r>
        <w:t xml:space="preserve">The increasing urgency of climate change necessitates a comprehensive understanding of environmental impacts across product lifecycles. This Product Carbon Footprint (PCF) report for fqftlsytrx provides xtsytjijyz with a robust assessment of its greenhouse gas (GHG) emissions, leveraging the expertise of Senior Sustainability Consultant qmlgxppzvg.</w:t>
      </w:r>
    </w:p>
    <w:p>
      <w:pPr>
        <w:pStyle w:val="BodyText"/>
      </w:pPr>
      <w:r>
        <w:t xml:space="preserve">The analysis follows the globally recognized GHG Protocol, an accounting standard that categorizes emissions into Scope 1 (direct emissions), Scope 2 (purchased energy emissions), and Scope 3 (all other indirect emissions in the value chain). This systematic approach ensures a thorough and comparable evaluation of the product\'s environmental performance.</w:t>
      </w:r>
    </w:p>
    <w:p>
      <w:pPr>
        <w:pStyle w:val="BodyText"/>
      </w:pPr>
      <w:r>
        <w:t xml:space="preserve">The product under review is fqftlsytrx. The company commissioning this report is xtsytjijyz, with the analysis performed by Senior Sustainability Consultant qmlgxppzvg.</w:t>
      </w:r>
    </w:p>
    <w:bookmarkEnd w:id="24"/>
    <w:p>
      <w:r>
        <w:pict>
          <v:rect style="width:0;height:1.5pt" o:hralign="center" o:hrstd="t" o:hr="t"/>
        </w:pict>
      </w:r>
    </w:p>
    <w:bookmarkStart w:id="27" w:name="Xf1517f70ebe8b4c9175ed92564fed2ea136a980"/>
    <w:p>
      <w:pPr>
        <w:pStyle w:val="Heading2"/>
      </w:pPr>
      <w:r>
        <w:t xml:space="preserve">2. Methodology: Defining Scope and Mapping Lifecycle</w:t>
      </w:r>
    </w:p>
    <w:bookmarkStart w:id="25"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 defined as 1.0 unit of fqftlsytrx.</w:t>
      </w:r>
    </w:p>
    <w:p>
      <w:pPr>
        <w:numPr>
          <w:ilvl w:val="0"/>
          <w:numId w:val="1001"/>
        </w:numPr>
        <w:pStyle w:val="Compact"/>
      </w:pPr>
      <w:r>
        <w:rPr>
          <w:bCs/>
          <w:b/>
        </w:rPr>
        <w:t xml:space="preserve">System Boundary:</w:t>
      </w:r>
      <w:r>
        <w:t xml:space="preserve"> </w:t>
      </w:r>
      <w:r>
        <w:t xml:space="preserve">While initially specified as \'factory_gate\', a comprehensive Product Carbon Footprint analysis, as per the detailed parameters provided for transport, use phase, and end-of-life, requires a \'Cradle-to-Grave\' system boundary. Therefore, this report adopts a Cradle-to-Grave boundary, encompassing all stages from raw material acquisition, manufacturing, transportation, product use, to end-of-life disposal and recycling. The \'factory_gate\' is considered a significant milestone defining the boundary for the production stage.</w:t>
      </w:r>
    </w:p>
    <w:p>
      <w:pPr>
        <w:numPr>
          <w:ilvl w:val="0"/>
          <w:numId w:val="1001"/>
        </w:numPr>
        <w:pStyle w:val="Compact"/>
      </w:pPr>
      <w:r>
        <w:rPr>
          <w:bCs/>
          <w:b/>
        </w:rPr>
        <w:t xml:space="preserve">Geographic Scope:</w:t>
      </w:r>
      <w:r>
        <w:t xml:space="preserve"> </w:t>
      </w:r>
      <w:r>
        <w:t xml:space="preserve">The final production country is China, with a supply chain focus on Europe for downstream distribution and end-of-life considerations.</w:t>
      </w:r>
    </w:p>
    <w:p>
      <w:pPr>
        <w:numPr>
          <w:ilvl w:val="0"/>
          <w:numId w:val="1001"/>
        </w:numPr>
        <w:pStyle w:val="Compact"/>
      </w:pPr>
      <w:r>
        <w:rPr>
          <w:bCs/>
          <w:b/>
        </w:rPr>
        <w:t xml:space="preserve">Accounting Standard:</w:t>
      </w:r>
      <w:r>
        <w:t xml:space="preserve"> </w:t>
      </w:r>
      <w:r>
        <w:t xml:space="preserve">This analysis strictly adheres to the GHG Protocol Corporate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distance-based transportation.</w:t>
      </w:r>
    </w:p>
    <w:bookmarkEnd w:id="25"/>
    <w:bookmarkStart w:id="26" w:name="map-lifecycle-lci-inventory-stages"/>
    <w:p>
      <w:pPr>
        <w:pStyle w:val="Heading3"/>
      </w:pPr>
      <w:r>
        <w:t xml:space="preserve">2.2. Map Lifecycle (LCI Inventory Stages)</w:t>
      </w:r>
    </w:p>
    <w:p>
      <w:pPr>
        <w:pStyle w:val="FirstParagraph"/>
      </w:pPr>
      <w:r>
        <w:t xml:space="preserve">The lifecycle of fqftlsytrx is mapped across five key stages:</w:t>
      </w:r>
    </w:p>
    <w:p>
      <w:pPr>
        <w:numPr>
          <w:ilvl w:val="0"/>
          <w:numId w:val="1002"/>
        </w:numPr>
        <w:pStyle w:val="Compact"/>
      </w:pPr>
      <w:r>
        <w:rPr>
          <w:bCs/>
          <w:b/>
        </w:rPr>
        <w:t xml:space="preserve">Material Acquisition &amp; Pre-processing:</w:t>
      </w:r>
      <w:r>
        <w:t xml:space="preserve"> </w:t>
      </w:r>
      <w:r>
        <w:t xml:space="preserve">Covers the extraction of raw materials and their processing into usable components.</w:t>
      </w:r>
    </w:p>
    <w:p>
      <w:pPr>
        <w:numPr>
          <w:ilvl w:val="0"/>
          <w:numId w:val="1002"/>
        </w:numPr>
        <w:pStyle w:val="Compact"/>
      </w:pPr>
      <w:r>
        <w:rPr>
          <w:bCs/>
          <w:b/>
        </w:rPr>
        <w:t xml:space="preserve">Manufacturing:</w:t>
      </w:r>
      <w:r>
        <w:t xml:space="preserve"> </w:t>
      </w:r>
      <w:r>
        <w:t xml:space="preserve">Encompasses all processes at the final production facility in China, including assembly and packaging.</w:t>
      </w:r>
    </w:p>
    <w:p>
      <w:pPr>
        <w:numPr>
          <w:ilvl w:val="0"/>
          <w:numId w:val="1002"/>
        </w:numPr>
        <w:pStyle w:val="Compact"/>
      </w:pPr>
      <w:r>
        <w:rPr>
          <w:bCs/>
          <w:b/>
        </w:rPr>
        <w:t xml:space="preserve">Transportation &amp; Distribution:</w:t>
      </w:r>
      <w:r>
        <w:t xml:space="preserve"> </w:t>
      </w:r>
      <w:r>
        <w:t xml:space="preserve">Includes both upstream transport of materials to the factory and downstream transport of the finished product from the factory to the end-user in Europe.</w:t>
      </w:r>
    </w:p>
    <w:p>
      <w:pPr>
        <w:numPr>
          <w:ilvl w:val="0"/>
          <w:numId w:val="1002"/>
        </w:numPr>
        <w:pStyle w:val="Compact"/>
      </w:pPr>
      <w:r>
        <w:rPr>
          <w:bCs/>
          <w:b/>
        </w:rPr>
        <w:t xml:space="preserve">Use Phase:</w:t>
      </w:r>
      <w:r>
        <w:t xml:space="preserve"> </w:t>
      </w:r>
      <w:r>
        <w:t xml:space="preserve">Accounts for the energy consumption of the product during its lifespan.</w:t>
      </w:r>
    </w:p>
    <w:p>
      <w:pPr>
        <w:numPr>
          <w:ilvl w:val="0"/>
          <w:numId w:val="1002"/>
        </w:numPr>
        <w:pStyle w:val="Compact"/>
      </w:pPr>
      <w:r>
        <w:rPr>
          <w:bCs/>
          <w:b/>
        </w:rPr>
        <w:t xml:space="preserve">End-of-Life (EoL):</w:t>
      </w:r>
      <w:r>
        <w:t xml:space="preserve"> </w:t>
      </w:r>
      <w:r>
        <w:t xml:space="preserve">Addresses the emissions and potential benefits associated with the product\'s disposal, recycling, or participation in circular programs.</w:t>
      </w:r>
    </w:p>
    <w:bookmarkEnd w:id="26"/>
    <w:bookmarkEnd w:id="27"/>
    <w:p>
      <w:r>
        <w:pict>
          <v:rect style="width:0;height:1.5pt" o:hralign="center" o:hrstd="t" o:hr="t"/>
        </w:pict>
      </w:r>
    </w:p>
    <w:bookmarkStart w:id="33" w:name="data-collection-and-inputs"/>
    <w:p>
      <w:pPr>
        <w:pStyle w:val="Heading2"/>
      </w:pPr>
      <w:r>
        <w:t xml:space="preserve">3. Data Collection and Inputs</w:t>
      </w:r>
    </w:p>
    <w:p>
      <w:pPr>
        <w:pStyle w:val="FirstParagraph"/>
      </w:pPr>
      <w:r>
        <w:t xml:space="preserve">This analysis utilizes a combination of provided specific data (primary data) and industry-standard emission factors (secondary data) from databases such as Ecoinvent and DEFRA, where primary data was not available. All emission factors are expressed in kilograms of carbon dioxide equivalent (kg CO2e) to account for all relevant greenhouse gases.</w:t>
      </w:r>
    </w:p>
    <w:bookmarkStart w:id="28" w:name="X3e9f70ecd058121bf0fdfd15b8cbf56cb353bd8"/>
    <w:p>
      <w:pPr>
        <w:pStyle w:val="Heading3"/>
      </w:pPr>
      <w:r>
        <w:t xml:space="preserve">3.1. Detailed Bill of Materials (BOM) for fqftlsytrx (mxvhujxi)</w:t>
      </w:r>
    </w:p>
    <w:p>
      <w:pPr>
        <w:pStyle w:val="FirstParagraph"/>
      </w:pPr>
      <w:r>
        <w:t xml:space="preserve">The following detailed Bill of Materials was provided and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1.2</w:t>
            </w:r>
          </w:p>
        </w:tc>
        <w:tc>
          <w:tcPr/>
          <w:p>
            <w:pPr>
              <w:pStyle w:val="Compact"/>
              <w:jc w:val="left"/>
            </w:pPr>
            <w:r>
              <w:t xml:space="preserve">kg</w:t>
            </w:r>
          </w:p>
        </w:tc>
        <w:tc>
          <w:tcPr/>
          <w:p>
            <w:pPr>
              <w:pStyle w:val="Compact"/>
              <w:jc w:val="left"/>
            </w:pPr>
            <w:r>
              <w:t xml:space="preserve">7.5</w:t>
            </w:r>
          </w:p>
        </w:tc>
        <w:tc>
          <w:tcPr/>
          <w:p>
            <w:pPr>
              <w:pStyle w:val="Compact"/>
              <w:jc w:val="left"/>
            </w:pPr>
            <w:r>
              <w:t xml:space="preserve">9.00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0.6</w:t>
            </w:r>
          </w:p>
        </w:tc>
        <w:tc>
          <w:tcPr/>
          <w:p>
            <w:pPr>
              <w:pStyle w:val="Compact"/>
              <w:jc w:val="left"/>
            </w:pPr>
            <w:r>
              <w:t xml:space="preserve">kg</w:t>
            </w:r>
          </w:p>
        </w:tc>
        <w:tc>
          <w:tcPr/>
          <w:p>
            <w:pPr>
              <w:pStyle w:val="Compact"/>
              <w:jc w:val="left"/>
            </w:pPr>
            <w:r>
              <w:t xml:space="preserve">3.2</w:t>
            </w:r>
          </w:p>
        </w:tc>
        <w:tc>
          <w:tcPr/>
          <w:p>
            <w:pPr>
              <w:pStyle w:val="Compact"/>
              <w:jc w:val="left"/>
            </w:pPr>
            <w:r>
              <w:t xml:space="preserve">1.92</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14.12</w:t>
            </w:r>
          </w:p>
        </w:tc>
      </w:tr>
    </w:tbl>
    <w:p>
      <w:pPr>
        <w:pStyle w:val="BodyText"/>
      </w:pPr>
      <w:r>
        <w:rPr>
          <w:iCs/>
          <w:i/>
        </w:rPr>
        <w:t xml:space="preserve">Note: The \'Total Carbon\' values were directly provided in the BOM and sum to the total material footprint. The emission factors shown are illustrative values consistent with industry averages.</w:t>
      </w:r>
    </w:p>
    <w:p>
      <w:pPr>
        <w:pStyle w:val="BodyText"/>
      </w:pPr>
      <w:r>
        <w:t xml:space="preserve">The total weight of the product (fqftlsytrx) for transport calculations is approximately 2.25 kg (sum of quantities from BOM, assuming 0.05 unit of PCBA is equivalent to 0.05 kg for mass calculations).</w:t>
      </w:r>
    </w:p>
    <w:bookmarkEnd w:id="28"/>
    <w:bookmarkStart w:id="29"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yffwxkxhws (Assumed: 20 kWh/unit)</w:t>
      </w:r>
    </w:p>
    <w:p>
      <w:pPr>
        <w:numPr>
          <w:ilvl w:val="0"/>
          <w:numId w:val="1003"/>
        </w:numPr>
        <w:pStyle w:val="Compact"/>
      </w:pPr>
      <w:r>
        <w:rPr>
          <w:bCs/>
          <w:b/>
        </w:rPr>
        <w:t xml:space="preserve">Renewable Energy Usage (josodsmkhj):</w:t>
      </w:r>
      <w:r>
        <w:t xml:space="preserve"> </w:t>
      </w:r>
      <w:r>
        <w:t xml:space="preserve">Assumed: 60%</w:t>
      </w:r>
    </w:p>
    <w:p>
      <w:pPr>
        <w:numPr>
          <w:ilvl w:val="0"/>
          <w:numId w:val="1003"/>
        </w:numPr>
        <w:pStyle w:val="Compact"/>
      </w:pPr>
      <w:r>
        <w:rPr>
          <w:bCs/>
          <w:b/>
        </w:rPr>
        <w:t xml:space="preserve">Non-renewable Electricity Consumption:</w:t>
      </w:r>
      <w:r>
        <w:t xml:space="preserve"> </w:t>
      </w:r>
      <w:r>
        <w:t xml:space="preserve">20 kWh/unit * (1 - 0.60) = 8 kWh/unit</w:t>
      </w:r>
    </w:p>
    <w:p>
      <w:pPr>
        <w:numPr>
          <w:ilvl w:val="0"/>
          <w:numId w:val="1003"/>
        </w:numPr>
        <w:pStyle w:val="Compact"/>
      </w:pPr>
      <w:r>
        <w:rPr>
          <w:bCs/>
          <w:b/>
        </w:rPr>
        <w:t xml:space="preserve">China Grid Emission Factor:</w:t>
      </w:r>
      <w:r>
        <w:t xml:space="preserve"> </w:t>
      </w:r>
      <w:r>
        <w:t xml:space="preserve">0.5568 kg CO2e/kWh (Based on the Ministry of Ecology and Environment of China\'s 2021 reported value).</w:t>
      </w:r>
    </w:p>
    <w:bookmarkEnd w:id="29"/>
    <w:bookmarkStart w:id="30" w:name="logistics-data-transportation"/>
    <w:p>
      <w:pPr>
        <w:pStyle w:val="Heading3"/>
      </w:pPr>
      <w:r>
        <w:t xml:space="preserve">3.3. Logistics Data (Transportation)</w:t>
      </w:r>
    </w:p>
    <w:p>
      <w:pPr>
        <w:numPr>
          <w:ilvl w:val="0"/>
          <w:numId w:val="1004"/>
        </w:numPr>
        <w:pStyle w:val="Compact"/>
      </w:pPr>
      <w:r>
        <w:rPr>
          <w:bCs/>
          <w:b/>
        </w:rPr>
        <w:t xml:space="preserve">Primary Transport Mode (Materials to Factory, China to Europe):</w:t>
      </w:r>
      <w:r>
        <w:t xml:space="preserve"> </w:t>
      </w:r>
      <w:r>
        <w:t xml:space="preserve">Ocean Freight (Assumed).</w:t>
      </w:r>
    </w:p>
    <w:p>
      <w:pPr>
        <w:numPr>
          <w:ilvl w:val="0"/>
          <w:numId w:val="1004"/>
        </w:numPr>
        <w:pStyle w:val="Compact"/>
      </w:pPr>
      <w:r>
        <w:rPr>
          <w:bCs/>
          <w:b/>
        </w:rPr>
        <w:t xml:space="preserve">Primary Transport Distance (uyvxtwutnj):</w:t>
      </w:r>
    </w:p>
    <w:p>
      <w:pPr>
        <w:numPr>
          <w:ilvl w:val="1"/>
          <w:numId w:val="1005"/>
        </w:numPr>
        <w:pStyle w:val="Compact"/>
      </w:pPr>
      <w:r>
        <w:t xml:space="preserve">Upstream (Materials to China Factory): 10,000 km (Assumed average)</w:t>
      </w:r>
    </w:p>
    <w:p>
      <w:pPr>
        <w:numPr>
          <w:ilvl w:val="1"/>
          <w:numId w:val="1005"/>
        </w:numPr>
        <w:pStyle w:val="Compact"/>
      </w:pPr>
      <w:r>
        <w:t xml:space="preserve">Downstream (China to Europe Port): 12,000 km (Assumed average)</w:t>
      </w:r>
    </w:p>
    <w:p>
      <w:pPr>
        <w:numPr>
          <w:ilvl w:val="0"/>
          <w:numId w:val="1004"/>
        </w:numPr>
        <w:pStyle w:val="Compact"/>
      </w:pPr>
      <w:r>
        <w:rPr>
          <w:bCs/>
          <w:b/>
        </w:rPr>
        <w:t xml:space="preserve">Last-Mile Delivery Channel (Delivery Type):</w:t>
      </w:r>
      <w:r>
        <w:t xml:space="preserve"> </w:t>
      </w:r>
      <w:r>
        <w:t xml:space="preserve">Road Freight (Heavy Goods Vehicle - HGV, Assumed).</w:t>
      </w:r>
    </w:p>
    <w:p>
      <w:pPr>
        <w:numPr>
          <w:ilvl w:val="0"/>
          <w:numId w:val="1004"/>
        </w:numPr>
        <w:pStyle w:val="Compact"/>
      </w:pPr>
      <w:r>
        <w:rPr>
          <w:bCs/>
          <w:b/>
        </w:rPr>
        <w:t xml:space="preserve">Last-Mile Delivery Distance:</w:t>
      </w:r>
      <w:r>
        <w:t xml:space="preserve"> </w:t>
      </w:r>
      <w:r>
        <w:t xml:space="preserve">500 km (Assumed within Europe)</w:t>
      </w:r>
    </w:p>
    <w:p>
      <w:pPr>
        <w:numPr>
          <w:ilvl w:val="0"/>
          <w:numId w:val="1004"/>
        </w:numPr>
        <w:pStyle w:val="Compact"/>
      </w:pPr>
      <w:r>
        <w:rPr>
          <w:bCs/>
          <w:b/>
        </w:rPr>
        <w:t xml:space="preserve">Emission Factor - Ocean Freight:</w:t>
      </w:r>
      <w:r>
        <w:t xml:space="preserve"> </w:t>
      </w:r>
      <w:r>
        <w:t xml:space="preserve">0.016 kg CO2e/tonne-km (DEFRA 2025 reports container ships at 16.12 gCO2e/tkm).</w:t>
      </w:r>
    </w:p>
    <w:p>
      <w:pPr>
        <w:numPr>
          <w:ilvl w:val="0"/>
          <w:numId w:val="1004"/>
        </w:numPr>
        <w:pStyle w:val="Compact"/>
      </w:pPr>
      <w:r>
        <w:rPr>
          <w:bCs/>
          <w:b/>
        </w:rPr>
        <w:t xml:space="preserve">Emission Factor - Road Freight (HGV):</w:t>
      </w:r>
      <w:r>
        <w:t xml:space="preserve"> </w:t>
      </w:r>
      <w:r>
        <w:t xml:space="preserve">0.092 kg CO2e/tonne-km (GLEC 2019 for HGV &gt;20t in Europe).</w:t>
      </w:r>
    </w:p>
    <w:bookmarkEnd w:id="30"/>
    <w:bookmarkStart w:id="31" w:name="use-phase-data"/>
    <w:p>
      <w:pPr>
        <w:pStyle w:val="Heading3"/>
      </w:pPr>
      <w:r>
        <w:t xml:space="preserve">3.4. Use Phase Data</w:t>
      </w:r>
    </w:p>
    <w:p>
      <w:pPr>
        <w:numPr>
          <w:ilvl w:val="0"/>
          <w:numId w:val="1006"/>
        </w:numPr>
        <w:pStyle w:val="Compact"/>
      </w:pPr>
      <w:r>
        <w:rPr>
          <w:bCs/>
          <w:b/>
        </w:rPr>
        <w:t xml:space="preserve">Product Lifespan (peftpopmvo):</w:t>
      </w:r>
      <w:r>
        <w:t xml:space="preserve"> </w:t>
      </w:r>
      <w:r>
        <w:t xml:space="preserve">Assumed: 5 years</w:t>
      </w:r>
    </w:p>
    <w:p>
      <w:pPr>
        <w:numPr>
          <w:ilvl w:val="0"/>
          <w:numId w:val="1006"/>
        </w:numPr>
        <w:pStyle w:val="Compact"/>
      </w:pPr>
      <w:r>
        <w:rPr>
          <w:bCs/>
          <w:b/>
        </w:rPr>
        <w:t xml:space="preserve">Energy Consumption in Use (jywhxqjitx):</w:t>
      </w:r>
      <w:r>
        <w:t xml:space="preserve"> </w:t>
      </w:r>
      <w:r>
        <w:t xml:space="preserve">Assumed: 15 kWh/year</w:t>
      </w:r>
    </w:p>
    <w:p>
      <w:pPr>
        <w:numPr>
          <w:ilvl w:val="0"/>
          <w:numId w:val="1006"/>
        </w:numPr>
        <w:pStyle w:val="Compact"/>
      </w:pPr>
      <w:r>
        <w:rPr>
          <w:bCs/>
          <w:b/>
        </w:rPr>
        <w:t xml:space="preserve">Europe Grid Emission Factor (Use Phase):</w:t>
      </w:r>
      <w:r>
        <w:t xml:space="preserve"> </w:t>
      </w:r>
      <w:r>
        <w:t xml:space="preserve">0.270 kg CO2e/kWh (EU-27 average for 2020).</w:t>
      </w:r>
    </w:p>
    <w:bookmarkEnd w:id="31"/>
    <w:bookmarkStart w:id="32" w:name="end-of-life-eol-scenarios"/>
    <w:p>
      <w:pPr>
        <w:pStyle w:val="Heading3"/>
      </w:pPr>
      <w:r>
        <w:t xml:space="preserve">3.5. End-of-Life (EoL) Scenarios</w:t>
      </w:r>
    </w:p>
    <w:p>
      <w:pPr>
        <w:numPr>
          <w:ilvl w:val="0"/>
          <w:numId w:val="1007"/>
        </w:numPr>
        <w:pStyle w:val="Compact"/>
      </w:pPr>
      <w:r>
        <w:rPr>
          <w:bCs/>
          <w:b/>
        </w:rPr>
        <w:t xml:space="preserve">Recyclability Percentage (kqjzvnqkxe):</w:t>
      </w:r>
      <w:r>
        <w:t xml:space="preserve"> </w:t>
      </w:r>
      <w:r>
        <w:t xml:space="preserve">Assumed: 75%</w:t>
      </w:r>
    </w:p>
    <w:p>
      <w:pPr>
        <w:numPr>
          <w:ilvl w:val="0"/>
          <w:numId w:val="1007"/>
        </w:numPr>
        <w:pStyle w:val="Compact"/>
      </w:pPr>
      <w:r>
        <w:rPr>
          <w:bCs/>
          <w:b/>
        </w:rPr>
        <w:t xml:space="preserve">Circular/Take-back Programs (fuwymveqvt):</w:t>
      </w:r>
      <w:r>
        <w:t xml:space="preserve"> </w:t>
      </w:r>
      <w:r>
        <w:t xml:space="preserve">Yes, company-led take-back program for end-of-life recycling.</w:t>
      </w:r>
    </w:p>
    <w:p>
      <w:pPr>
        <w:numPr>
          <w:ilvl w:val="0"/>
          <w:numId w:val="1007"/>
        </w:numPr>
        <w:pStyle w:val="Compact"/>
      </w:pPr>
      <w:r>
        <w:rPr>
          <w:bCs/>
          <w:b/>
        </w:rPr>
        <w:t xml:space="preserve">Illustrative Disposal Emission Factor (for non-recycled portion):</w:t>
      </w:r>
      <w:r>
        <w:t xml:space="preserve"> </w:t>
      </w:r>
      <w:r>
        <w:t xml:space="preserve">1.0 kg CO2e/kg (Highly variable, for mixed waste, used illustratively).</w:t>
      </w:r>
    </w:p>
    <w:bookmarkEnd w:id="32"/>
    <w:bookmarkEnd w:id="33"/>
    <w:p>
      <w:r>
        <w:pict>
          <v:rect style="width:0;height:1.5pt" o:hralign="center" o:hrstd="t" o:hr="t"/>
        </w:pict>
      </w:r>
    </w:p>
    <w:bookmarkStart w:id="37" w:name="X4eff67be3228dc1408ba045ea13b0013a3b5f0b"/>
    <w:p>
      <w:pPr>
        <w:pStyle w:val="Heading2"/>
      </w:pPr>
      <w:r>
        <w:t xml:space="preserve">4. Emissions Calculation and GHG Protocol Categorization</w:t>
      </w:r>
    </w:p>
    <w:p>
      <w:pPr>
        <w:pStyle w:val="FirstParagraph"/>
      </w:pPr>
      <w:r>
        <w:t xml:space="preserve">The emissions for each lifecycle stage are calculated by multiplying activity data by the relevant emission factors. These emissions are then categorized according to the GHG Protocol\'s Scope 1, Scope 2, and Scope 3 framework.</w:t>
      </w:r>
    </w:p>
    <w:bookmarkStart w:id="34" w:name="lifecycle-stage-emissions-breakdown"/>
    <w:p>
      <w:pPr>
        <w:pStyle w:val="Heading3"/>
      </w:pPr>
      <w:r>
        <w:t xml:space="preserve">4.1. Lifecycle Stage Emissions Breakdown</w:t>
      </w:r>
    </w:p>
    <w:p>
      <w:pPr>
        <w:pStyle w:val="FirstParagraph"/>
      </w:pPr>
      <w:r>
        <w:t xml:space="preserve">The following table summarizes the calculated emissions for each stage of fqftlsytrx\'s lifecycle: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 CO2e)</w:t>
            </w:r>
          </w:p>
        </w:tc>
        <w:tc>
          <w:tcPr/>
          <w:p>
            <w:pPr>
              <w:pStyle w:val="Compact"/>
              <w:jc w:val="left"/>
            </w:pPr>
            <w:r>
              <w:t xml:space="preserve">GHG Protocol Scope</w:t>
            </w:r>
          </w:p>
        </w:tc>
        <w:tc>
          <w:tcPr/>
          <w:p>
            <w:pPr>
              <w:pStyle w:val="Compact"/>
              <w:jc w:val="left"/>
            </w:pPr>
            <w:r>
              <w:t xml:space="preserve">Scope 3 Category</w:t>
            </w:r>
          </w:p>
        </w:tc>
      </w:tr>
      <w:tr>
        <w:tc>
          <w:tcPr/>
          <w:p>
            <w:pPr>
              <w:pStyle w:val="Compact"/>
              <w:jc w:val="left"/>
            </w:pPr>
            <w:r>
              <w:rPr>
                <w:bCs/>
                <w:b/>
              </w:rPr>
              <w:t xml:space="preserve">Material Acquisition &amp; Pre-processing</w:t>
            </w:r>
          </w:p>
        </w:tc>
        <w:tc>
          <w:tcPr/>
          <w:p>
            <w:pPr>
              <w:pStyle w:val="Compact"/>
              <w:jc w:val="left"/>
            </w:pPr>
            <w:r>
              <w:t xml:space="preserve">See BOM Table</w:t>
            </w:r>
          </w:p>
        </w:tc>
        <w:tc>
          <w:tcPr/>
          <w:p>
            <w:pPr>
              <w:pStyle w:val="Compact"/>
              <w:jc w:val="left"/>
            </w:pPr>
            <w:r>
              <w:t xml:space="preserve">Provided in BOM</w:t>
            </w:r>
          </w:p>
        </w:tc>
        <w:tc>
          <w:tcPr/>
          <w:p>
            <w:pPr>
              <w:pStyle w:val="Compact"/>
              <w:jc w:val="left"/>
            </w:pPr>
            <w:r>
              <w:t xml:space="preserve">14.12</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rPr>
                <w:bCs/>
                <w:b/>
              </w:rPr>
              <w:t xml:space="preserve">Manufacturing (Production Energy)</w:t>
            </w:r>
          </w:p>
        </w:tc>
        <w:tc>
          <w:tcPr/>
          <w:p>
            <w:pPr>
              <w:pStyle w:val="Compact"/>
              <w:jc w:val="left"/>
            </w:pPr>
            <w:r>
              <w:t xml:space="preserve">8 kWh/unit (non-renewable)</w:t>
            </w:r>
          </w:p>
        </w:tc>
        <w:tc>
          <w:tcPr/>
          <w:p>
            <w:pPr>
              <w:pStyle w:val="Compact"/>
              <w:jc w:val="left"/>
            </w:pPr>
            <w:r>
              <w:t xml:space="preserve">0.5568 kg CO2e/kWh</w:t>
            </w:r>
          </w:p>
        </w:tc>
        <w:tc>
          <w:tcPr/>
          <w:p>
            <w:pPr>
              <w:pStyle w:val="Compact"/>
              <w:jc w:val="left"/>
            </w:pPr>
            <w:r>
              <w:t xml:space="preserve">4.45</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rPr>
                <w:bCs/>
                <w:b/>
              </w:rPr>
              <w:t xml:space="preserve">Upstream Transportation</w:t>
            </w:r>
          </w:p>
        </w:tc>
        <w:tc>
          <w:tcPr/>
          <w:p>
            <w:pPr>
              <w:pStyle w:val="Compact"/>
              <w:jc w:val="left"/>
            </w:pPr>
            <w:r>
              <w:t xml:space="preserve">10,000 km (0.00225 tonnes)</w:t>
            </w:r>
          </w:p>
        </w:tc>
        <w:tc>
          <w:tcPr/>
          <w:p>
            <w:pPr>
              <w:pStyle w:val="Compact"/>
              <w:jc w:val="left"/>
            </w:pPr>
            <w:r>
              <w:t xml:space="preserve">0.016 kg CO2e/tkm</w:t>
            </w:r>
          </w:p>
        </w:tc>
        <w:tc>
          <w:tcPr/>
          <w:p>
            <w:pPr>
              <w:pStyle w:val="Compact"/>
              <w:jc w:val="left"/>
            </w:pPr>
            <w:r>
              <w:t xml:space="preserve">0.36</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rPr>
                <w:bCs/>
                <w:b/>
              </w:rPr>
              <w:t xml:space="preserve">Downstream Transportation (Primary)</w:t>
            </w:r>
          </w:p>
        </w:tc>
        <w:tc>
          <w:tcPr/>
          <w:p>
            <w:pPr>
              <w:pStyle w:val="Compact"/>
              <w:jc w:val="left"/>
            </w:pPr>
            <w:r>
              <w:t xml:space="preserve">12,000 km (0.00225 tonnes)</w:t>
            </w:r>
          </w:p>
        </w:tc>
        <w:tc>
          <w:tcPr/>
          <w:p>
            <w:pPr>
              <w:pStyle w:val="Compact"/>
              <w:jc w:val="left"/>
            </w:pPr>
            <w:r>
              <w:t xml:space="preserve">0.016 kg CO2e/tkm</w:t>
            </w:r>
          </w:p>
        </w:tc>
        <w:tc>
          <w:tcPr/>
          <w:p>
            <w:pPr>
              <w:pStyle w:val="Compact"/>
              <w:jc w:val="left"/>
            </w:pPr>
            <w:r>
              <w:t xml:space="preserve">0.43</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rPr>
                <w:bCs/>
                <w:b/>
              </w:rPr>
              <w:t xml:space="preserve">Downstream Transportation (Last-Mile)</w:t>
            </w:r>
          </w:p>
        </w:tc>
        <w:tc>
          <w:tcPr/>
          <w:p>
            <w:pPr>
              <w:pStyle w:val="Compact"/>
              <w:jc w:val="left"/>
            </w:pPr>
            <w:r>
              <w:t xml:space="preserve">500 km (0.00225 tonnes)</w:t>
            </w:r>
          </w:p>
        </w:tc>
        <w:tc>
          <w:tcPr/>
          <w:p>
            <w:pPr>
              <w:pStyle w:val="Compact"/>
              <w:jc w:val="left"/>
            </w:pPr>
            <w:r>
              <w:t xml:space="preserve">0.092 kg CO2e/tkm</w:t>
            </w:r>
          </w:p>
        </w:tc>
        <w:tc>
          <w:tcPr/>
          <w:p>
            <w:pPr>
              <w:pStyle w:val="Compact"/>
              <w:jc w:val="left"/>
            </w:pPr>
            <w:r>
              <w:t xml:space="preserve">0.10</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rPr>
                <w:bCs/>
                <w:b/>
              </w:rPr>
              <w:t xml:space="preserve">Use Phase</w:t>
            </w:r>
          </w:p>
        </w:tc>
        <w:tc>
          <w:tcPr/>
          <w:p>
            <w:pPr>
              <w:pStyle w:val="Compact"/>
              <w:jc w:val="left"/>
            </w:pPr>
            <w:r>
              <w:t xml:space="preserve">75 kWh/unit (over lifespan)</w:t>
            </w:r>
          </w:p>
        </w:tc>
        <w:tc>
          <w:tcPr/>
          <w:p>
            <w:pPr>
              <w:pStyle w:val="Compact"/>
              <w:jc w:val="left"/>
            </w:pPr>
            <w:r>
              <w:t xml:space="preserve">0.270 kg CO2e/kWh</w:t>
            </w:r>
          </w:p>
        </w:tc>
        <w:tc>
          <w:tcPr/>
          <w:p>
            <w:pPr>
              <w:pStyle w:val="Compact"/>
              <w:jc w:val="left"/>
            </w:pPr>
            <w:r>
              <w:t xml:space="preserve">20.25</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rPr>
                <w:bCs/>
                <w:b/>
              </w:rPr>
              <w:t xml:space="preserve">End-of-Life (Disposal of non-recycled)</w:t>
            </w:r>
          </w:p>
        </w:tc>
        <w:tc>
          <w:tcPr/>
          <w:p>
            <w:pPr>
              <w:pStyle w:val="Compact"/>
              <w:jc w:val="left"/>
            </w:pPr>
            <w:r>
              <w:t xml:space="preserve">0.56 kg (25% of product weight)</w:t>
            </w:r>
          </w:p>
        </w:tc>
        <w:tc>
          <w:tcPr/>
          <w:p>
            <w:pPr>
              <w:pStyle w:val="Compact"/>
              <w:jc w:val="left"/>
            </w:pPr>
            <w:r>
              <w:t xml:space="preserve">1.0 kg CO2e/kg (Illustrative)</w:t>
            </w:r>
          </w:p>
        </w:tc>
        <w:tc>
          <w:tcPr/>
          <w:p>
            <w:pPr>
              <w:pStyle w:val="Compact"/>
              <w:jc w:val="left"/>
            </w:pPr>
            <w:r>
              <w:t xml:space="preserve">0.56</w:t>
            </w:r>
          </w:p>
        </w:tc>
        <w:tc>
          <w:tcPr/>
          <w:p>
            <w:pPr>
              <w:pStyle w:val="Compact"/>
              <w:jc w:val="left"/>
            </w:pPr>
            <w:r>
              <w:t xml:space="preserve">Scope 3</w:t>
            </w:r>
          </w:p>
        </w:tc>
        <w:tc>
          <w:tcPr/>
          <w:p>
            <w:pPr>
              <w:pStyle w:val="Compact"/>
              <w:jc w:val="left"/>
            </w:pPr>
            <w:r>
              <w:t xml:space="preserve">Category 12: End-of-life treatment of sold products</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40.28</w:t>
            </w:r>
          </w:p>
        </w:tc>
        <w:tc>
          <w:tcPr>
            <w:gridSpan w:val="2"/>
          </w:tcPr>
          <w:p>
            <w:pPr>
              <w:pStyle w:val="Compact"/>
            </w:pPr>
          </w:p>
        </w:tc>
      </w:tr>
    </w:tbl>
    <w:p>
      <w:pPr>
        <w:pStyle w:val="BodyText"/>
      </w:pPr>
      <w:r>
        <w:rPr>
          <w:iCs/>
          <w:i/>
        </w:rPr>
        <w:t xml:space="preserve">Note: Values may slightly differ due to rounding.</w:t>
      </w:r>
    </w:p>
    <w:bookmarkEnd w:id="34"/>
    <w:bookmarkStart w:id="35" w:name="ghg-protocol-scope-summary"/>
    <w:p>
      <w:pPr>
        <w:pStyle w:val="Heading3"/>
      </w:pPr>
      <w:r>
        <w:t xml:space="preserve">4.2. GHG Protocol Scope Summary</w:t>
      </w:r>
    </w:p>
    <w:p>
      <w:pPr>
        <w:pStyle w:val="FirstParagraph"/>
      </w:pPr>
      <w:r>
        <w:t xml:space="preserve">The total PCF of 40.28 kg CO2e per unit of fqftlsytrx is categorized as follows for xtsytjijyz:</w:t>
      </w:r>
    </w:p>
    <w:p>
      <w:pPr>
        <w:numPr>
          <w:ilvl w:val="0"/>
          <w:numId w:val="1008"/>
        </w:numPr>
        <w:pStyle w:val="Compact"/>
      </w:pPr>
      <w:r>
        <w:rPr>
          <w:bCs/>
          <w:b/>
        </w:rPr>
        <w:t xml:space="preserve">Scope 1 Emissions:</w:t>
      </w:r>
      <w:r>
        <w:t xml:space="preserve"> </w:t>
      </w:r>
      <w:r>
        <w:t xml:space="preserve">0.00 kg CO2e. As xtsytjijyz is the reporting entity and fqftlsytrx is manufactured by a third-party supplier, there are no direct emissions (e.g., from owned or controlled facilities for manufacturing) attributed to xtsytjijyz for the product\'s direct carbon footprint.</w:t>
      </w:r>
    </w:p>
    <w:p>
      <w:pPr>
        <w:numPr>
          <w:ilvl w:val="0"/>
          <w:numId w:val="1008"/>
        </w:numPr>
        <w:pStyle w:val="Compact"/>
      </w:pPr>
      <w:r>
        <w:rPr>
          <w:bCs/>
          <w:b/>
        </w:rPr>
        <w:t xml:space="preserve">Scope 2 Emissions:</w:t>
      </w:r>
      <w:r>
        <w:t xml:space="preserve"> </w:t>
      </w:r>
      <w:r>
        <w:t xml:space="preserve">0.00 kg CO2e. Similarly, electricity purchased for the manufacturing of fqftlsytrx at the supplier\'s facility is considered an upstream emission for xtsytjijyz and falls under Scope 3.</w:t>
      </w:r>
    </w:p>
    <w:p>
      <w:pPr>
        <w:numPr>
          <w:ilvl w:val="0"/>
          <w:numId w:val="1008"/>
        </w:numPr>
        <w:pStyle w:val="Compact"/>
      </w:pPr>
      <w:r>
        <w:rPr>
          <w:bCs/>
          <w:b/>
        </w:rPr>
        <w:t xml:space="preserve">Scope 3 Emissions:</w:t>
      </w:r>
      <w:r>
        <w:t xml:space="preserve"> </w:t>
      </w:r>
      <w:r>
        <w:t xml:space="preserve">40.28 kg CO2e. All emissions associated with the product\'s lifecycle are categorized under Scope 3, representing indirect emissions from the value chain. This includes purchased materials, energy for production at the supplier, all transportation, the use phase, and end-of-life treatment. This accounts for 100% of the calculated product footprint.</w:t>
      </w:r>
    </w:p>
    <w:p>
      <w:pPr>
        <w:pStyle w:val="FirstParagraph"/>
      </w:pPr>
      <w:r>
        <w:rPr>
          <w:bCs/>
          <w:b/>
        </w:rPr>
        <w:t xml:space="preserve">Scope 3 Compliance:</w:t>
      </w:r>
      <w:r>
        <w:t xml:space="preserve"> </w:t>
      </w:r>
      <w:r>
        <w:t xml:space="preserve">This analysis ensures 100% coverage of product-related emissions under Scope 3, exceeding the 95% coverage requirement for 2026.</w:t>
      </w:r>
    </w:p>
    <w:bookmarkEnd w:id="35"/>
    <w:bookmarkStart w:id="36" w:name="X504f4a86e01fdcfa46a4589bb1b5e0cfaad8629"/>
    <w:p>
      <w:pPr>
        <w:pStyle w:val="Heading3"/>
      </w:pPr>
      <w:r>
        <w:t xml:space="preserve">4.3. 2026 Land Sector and Removals (LSR) Standard Update</w:t>
      </w:r>
    </w:p>
    <w:p>
      <w:pPr>
        <w:pStyle w:val="FirstParagraph"/>
      </w:pPr>
      <w:r>
        <w:t xml:space="preserve">The GHG Protocol\'s Land Sector and Removals (LSR) Standard, published on January 30, 2026, and effective from January 1, 2027, provides crucial guidance for accounting for land-based emissions and CO2 removals. While Version 1.0 primarily covers agriculture and technological CO2 removal technologies, it does not yet include comprehensive forestry accounting. For fqftlsytrx, the direct applicability of the LSR Standard is currently limited due to the product\'s material composition and processing not involving significant land use change or biogenic carbon removals that would fall under the current scope of the standard. However, xtsytjijyz should monitor future updates to the LSR Standard and consider its implications if material sourcing or product components introduce such elements into the value chain. Future iterations of the standard and its accompanying guidance (expected Q2 2026) are anticipated to offer more practical direction.</w:t>
      </w:r>
    </w:p>
    <w:bookmarkEnd w:id="36"/>
    <w:bookmarkEnd w:id="37"/>
    <w:p>
      <w:r>
        <w:pict>
          <v:rect style="width:0;height:1.5pt" o:hralign="center" o:hrstd="t" o:hr="t"/>
        </w:pict>
      </w:r>
    </w:p>
    <w:bookmarkStart w:id="41" w:name="review-report-hotspots-and-reliability"/>
    <w:p>
      <w:pPr>
        <w:pStyle w:val="Heading2"/>
      </w:pPr>
      <w:r>
        <w:t xml:space="preserve">5. Review &amp; Report: Hotspots and Reliability</w:t>
      </w:r>
    </w:p>
    <w:bookmarkStart w:id="38" w:name="emission-hotspots"/>
    <w:p>
      <w:pPr>
        <w:pStyle w:val="Heading3"/>
      </w:pPr>
      <w:r>
        <w:t xml:space="preserve">5.1. Emission Hotspots</w:t>
      </w:r>
    </w:p>
    <w:p>
      <w:pPr>
        <w:pStyle w:val="FirstParagraph"/>
      </w:pPr>
      <w:r>
        <w:t xml:space="preserve">The analysis reveals the following key emission hotspots for fqftlsytrx:</w:t>
      </w:r>
    </w:p>
    <w:p>
      <w:pPr>
        <w:numPr>
          <w:ilvl w:val="0"/>
          <w:numId w:val="1009"/>
        </w:numPr>
        <w:pStyle w:val="Compact"/>
      </w:pPr>
      <w:r>
        <w:rPr>
          <w:bCs/>
          <w:b/>
        </w:rPr>
        <w:t xml:space="preserve">Use Phase (50.27%):</w:t>
      </w:r>
      <w:r>
        <w:t xml:space="preserve"> </w:t>
      </w:r>
      <w:r>
        <w:t xml:space="preserve">The energy consumed during the product\'s 5-year lifespan is the single largest contributor to its carbon footprint (20.25 kg CO2e). This highlights the importance of energy efficiency during product design and consumer education on energy usage.</w:t>
      </w:r>
    </w:p>
    <w:p>
      <w:pPr>
        <w:numPr>
          <w:ilvl w:val="0"/>
          <w:numId w:val="1009"/>
        </w:numPr>
        <w:pStyle w:val="Compact"/>
      </w:pPr>
      <w:r>
        <w:rPr>
          <w:bCs/>
          <w:b/>
        </w:rPr>
        <w:t xml:space="preserve">Material Acquisition &amp; Pre-processing (35.05%):</w:t>
      </w:r>
      <w:r>
        <w:t xml:space="preserve"> </w:t>
      </w:r>
      <w:r>
        <w:t xml:space="preserve">The production of raw materials, particularly Aluminum Alloy and Lithium-ion Battery, contributes significantly to the footprint (14.12 kg CO2e). Opportunities exist in sourcing lower-carbon materials, increasing recycled content, and optimizing material use.</w:t>
      </w:r>
    </w:p>
    <w:p>
      <w:pPr>
        <w:numPr>
          <w:ilvl w:val="0"/>
          <w:numId w:val="1009"/>
        </w:numPr>
        <w:pStyle w:val="Compact"/>
      </w:pPr>
      <w:r>
        <w:rPr>
          <w:bCs/>
          <w:b/>
        </w:rPr>
        <w:t xml:space="preserve">Manufacturing (Production Energy) (11.05%):</w:t>
      </w:r>
      <w:r>
        <w:t xml:space="preserve"> </w:t>
      </w:r>
      <w:r>
        <w:t xml:space="preserve">The electricity consumed at the Chinese manufacturing facility, despite 60% renewable energy usage, still represents a notable portion (4.45 kg CO2e). Further investment in renewable energy or sourcing from facilities with cleaner grids can reduce this impact.</w:t>
      </w:r>
    </w:p>
    <w:p>
      <w:pPr>
        <w:numPr>
          <w:ilvl w:val="0"/>
          <w:numId w:val="1009"/>
        </w:numPr>
        <w:pStyle w:val="Compact"/>
      </w:pPr>
      <w:r>
        <w:rPr>
          <w:bCs/>
          <w:b/>
        </w:rPr>
        <w:t xml:space="preserve">Transportation (2.22%):</w:t>
      </w:r>
      <w:r>
        <w:t xml:space="preserve"> </w:t>
      </w:r>
      <w:r>
        <w:t xml:space="preserve">While less dominant than other stages, both upstream and downstream logistics contribute to emissions (0.8955 kg CO2e). Optimizing routes, selecting lower-emission transport modes (e.g., rail over road where feasible), and increasing load factors can offer reductions.</w:t>
      </w:r>
    </w:p>
    <w:p>
      <w:pPr>
        <w:numPr>
          <w:ilvl w:val="0"/>
          <w:numId w:val="1009"/>
        </w:numPr>
        <w:pStyle w:val="Compact"/>
      </w:pPr>
      <w:r>
        <w:rPr>
          <w:bCs/>
          <w:b/>
        </w:rPr>
        <w:t xml:space="preserve">End-of-Life (1.39%):</w:t>
      </w:r>
      <w:r>
        <w:t xml:space="preserve"> </w:t>
      </w:r>
      <w:r>
        <w:t xml:space="preserve">The disposal of the non-recycled portion contributes a small but addressable amount (0.56 kg CO2e). Enhancing recyclability and promoting take-back programs are crucial.</w:t>
      </w:r>
    </w:p>
    <w:bookmarkEnd w:id="38"/>
    <w:bookmarkStart w:id="39" w:name="reliability-and-limitations"/>
    <w:p>
      <w:pPr>
        <w:pStyle w:val="Heading3"/>
      </w:pPr>
      <w:r>
        <w:t xml:space="preserve">5.2. Reliability and Limitations</w:t>
      </w:r>
    </w:p>
    <w:p>
      <w:pPr>
        <w:pStyle w:val="FirstParagraph"/>
      </w:pPr>
      <w:r>
        <w:t xml:space="preserve">The reliability of this PCF is considered high, given the use of provided specific data (BOM, energy parameters, lifespan, consumption, recyclability) and adherence to the GHG Protocol. However, limitations include:</w:t>
      </w:r>
    </w:p>
    <w:p>
      <w:pPr>
        <w:numPr>
          <w:ilvl w:val="0"/>
          <w:numId w:val="1010"/>
        </w:numPr>
        <w:pStyle w:val="Compact"/>
      </w:pPr>
      <w:r>
        <w:rPr>
          <w:bCs/>
          <w:b/>
        </w:rPr>
        <w:t xml:space="preserve">Secondary Data Reliance:</w:t>
      </w:r>
      <w:r>
        <w:t xml:space="preserve"> </w:t>
      </w:r>
      <w:r>
        <w:t xml:space="preserve">Generic industry-average emission factors (e.g., for transport modes and electricity grids) were used where specific primary data was unavailable. These factors represent average conditions and may not perfectly reflect the exact operational efficiencies of all specific suppliers or routes.</w:t>
      </w:r>
    </w:p>
    <w:p>
      <w:pPr>
        <w:numPr>
          <w:ilvl w:val="0"/>
          <w:numId w:val="1010"/>
        </w:numPr>
        <w:pStyle w:val="Compact"/>
      </w:pPr>
      <w:r>
        <w:rPr>
          <w:bCs/>
          <w:b/>
        </w:rPr>
        <w:t xml:space="preserve">EoL Simplification:</w:t>
      </w:r>
      <w:r>
        <w:t xml:space="preserve"> </w:t>
      </w:r>
      <w:r>
        <w:t xml:space="preserve">The End-of-Life phase calculation is highly simplified due to the absence of detailed waste treatment infrastructure data and specific avoided burden factors for recycled materials. A full attributional or consequential LCA would be required for a more nuanced EoL assessment.</w:t>
      </w:r>
    </w:p>
    <w:p>
      <w:pPr>
        <w:numPr>
          <w:ilvl w:val="0"/>
          <w:numId w:val="1010"/>
        </w:numPr>
        <w:pStyle w:val="Compact"/>
      </w:pPr>
      <w:r>
        <w:rPr>
          <w:bCs/>
          <w:b/>
        </w:rPr>
        <w:t xml:space="preserve">Geographic Averaging:</w:t>
      </w:r>
      <w:r>
        <w:t xml:space="preserve"> </w:t>
      </w:r>
      <w:r>
        <w:t xml:space="preserve">Emission factors for electricity and transport are country- or region-average values (e.g., China grid, European grid, average HGV). More granular, supplier-specific data would enhance accuracy.</w:t>
      </w:r>
    </w:p>
    <w:bookmarkEnd w:id="39"/>
    <w:bookmarkStart w:id="40" w:name="recommendations-for-reduction"/>
    <w:p>
      <w:pPr>
        <w:pStyle w:val="Heading3"/>
      </w:pPr>
      <w:r>
        <w:t xml:space="preserve">5.3. Recommendations for Reduction</w:t>
      </w:r>
    </w:p>
    <w:p>
      <w:pPr>
        <w:numPr>
          <w:ilvl w:val="0"/>
          <w:numId w:val="1011"/>
        </w:numPr>
        <w:pStyle w:val="Compact"/>
      </w:pPr>
      <w:r>
        <w:rPr>
          <w:bCs/>
          <w:b/>
        </w:rPr>
        <w:t xml:space="preserve">Optimize Use Phase:</w:t>
      </w:r>
      <w:r>
        <w:t xml:space="preserve"> </w:t>
      </w:r>
      <w:r>
        <w:t xml:space="preserve">Invest in R&amp;D for more energy-efficient product designs. Provide clear user guidelines to promote efficient energy consumption. Explore smart features that reduce standby power.</w:t>
      </w:r>
    </w:p>
    <w:p>
      <w:pPr>
        <w:numPr>
          <w:ilvl w:val="0"/>
          <w:numId w:val="1011"/>
        </w:numPr>
        <w:pStyle w:val="Compact"/>
      </w:pPr>
      <w:r>
        <w:rPr>
          <w:bCs/>
          <w:b/>
        </w:rPr>
        <w:t xml:space="preserve">Sustainable Material Sourcing:</w:t>
      </w:r>
      <w:r>
        <w:t xml:space="preserve"> </w:t>
      </w:r>
      <w:r>
        <w:t xml:space="preserve">Prioritize suppliers offering materials with lower embedded carbon. Increase the percentage of recycled content in components. Investigate alternative, lower-impact materials.</w:t>
      </w:r>
    </w:p>
    <w:p>
      <w:pPr>
        <w:numPr>
          <w:ilvl w:val="0"/>
          <w:numId w:val="1011"/>
        </w:numPr>
        <w:pStyle w:val="Compact"/>
      </w:pPr>
      <w:r>
        <w:rPr>
          <w:bCs/>
          <w:b/>
        </w:rPr>
        <w:t xml:space="preserve">Enhance Production Renewable Energy:</w:t>
      </w:r>
      <w:r>
        <w:t xml:space="preserve"> </w:t>
      </w:r>
      <w:r>
        <w:t xml:space="preserve">Engage with manufacturing partners to increase their renewable energy procurement or transition to on-site renewable generation.</w:t>
      </w:r>
    </w:p>
    <w:p>
      <w:pPr>
        <w:numPr>
          <w:ilvl w:val="0"/>
          <w:numId w:val="1011"/>
        </w:numPr>
        <w:pStyle w:val="Compact"/>
      </w:pPr>
      <w:r>
        <w:rPr>
          <w:bCs/>
          <w:b/>
        </w:rPr>
        <w:t xml:space="preserve">Streamline Logistics:</w:t>
      </w:r>
      <w:r>
        <w:t xml:space="preserve"> </w:t>
      </w:r>
      <w:r>
        <w:t xml:space="preserve">Optimize freight routes, consolidate shipments, and consider slower, lower-emission transport modes (e.g., rail, sea) where feasible, especially for bulk and less time-sensitive deliveries.</w:t>
      </w:r>
    </w:p>
    <w:p>
      <w:pPr>
        <w:numPr>
          <w:ilvl w:val="0"/>
          <w:numId w:val="1011"/>
        </w:numPr>
        <w:pStyle w:val="Compact"/>
      </w:pPr>
      <w:r>
        <w:rPr>
          <w:bCs/>
          <w:b/>
        </w:rPr>
        <w:t xml:space="preserve">Strengthen Circularity:</w:t>
      </w:r>
      <w:r>
        <w:t xml:space="preserve"> </w:t>
      </w:r>
      <w:r>
        <w:t xml:space="preserve">Leverage the "Yes, company-led take-back program for end-of-life recycling" to maximize collection and ensure high-quality recycling. Explore design for disassembly and repair to extend product lifespan and facilitate material recovery.</w:t>
      </w:r>
    </w:p>
    <w:bookmarkEnd w:id="40"/>
    <w:bookmarkEnd w:id="41"/>
    <w:p>
      <w:r>
        <w:pict>
          <v:rect style="width:0;height:1.5pt" o:hralign="center" o:hrstd="t" o:hr="t"/>
        </w:pict>
      </w:r>
    </w:p>
    <w:bookmarkStart w:id="42" w:name="conclusion"/>
    <w:p>
      <w:pPr>
        <w:pStyle w:val="Heading2"/>
      </w:pPr>
      <w:r>
        <w:t xml:space="preserve">6. Conclusion</w:t>
      </w:r>
    </w:p>
    <w:p>
      <w:pPr>
        <w:pStyle w:val="FirstParagraph"/>
      </w:pPr>
      <w:r>
        <w:t xml:space="preserve">This Product Carbon Footprint analysis provides xtsytjijyz with a robust, GHG Protocol-compliant assessment of fqftlsytrx\'s environmental impact across its lifecycle. The total footprint of 40.28 kg CO2e per unit highlights the significant contributions from the use phase and material production.</w:t>
      </w:r>
    </w:p>
    <w:p>
      <w:pPr>
        <w:pStyle w:val="BodyText"/>
      </w:pPr>
      <w:r>
        <w:t xml:space="preserve">By identifying these key emission hotspots, xtsytjijyz can strategically focus its efforts to reduce the product\'s environmental footprint, enhance its sustainability credentials, and contribute meaningfully to climate action goals. Continuous monitoring, engagement with suppliers for primary data, and proactive implementation of circular economy principles will be essential for driving further improvements and demonstrating leadership in sustainability.</w:t>
      </w:r>
    </w:p>
    <w:bookmarkEnd w:id="42"/>
    <w:p>
      <w:pPr>
        <w:pStyle w:val="BodyText"/>
      </w:pPr>
      <w:r>
        <w:t xml:space="preserve">Confidential - Internal Use Only | Page</w:t>
      </w:r>
      <w:r>
        <w:t xml:space="preserve"> </w:t>
      </w:r>
      <w:bookmarkStart w:id="43" w:name="pageNumber"/>
      <w:r>
        <w:t xml:space="preserve">1</w:t>
      </w:r>
      <w:bookmarkEnd w:id="43"/>
      <w:r>
        <w:t xml:space="preserve"> </w:t>
      </w:r>
      <w:r>
        <w:t xml:space="preserve">of</w:t>
      </w:r>
      <w:r>
        <w:t xml:space="preserve"> </w:t>
      </w:r>
      <w:bookmarkStart w:id="44" w:name="totalPages"/>
      <w:r>
        <w:t xml:space="preserve">6</w:t>
      </w:r>
      <w:bookmarkEnd w:id="4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fqftlsytrx - xtsytjijyz</dc:title>
  <dc:creator/>
  <dc:description>Detailed Product Carbon Footprint (PCF) analysis report for fqftlsytrx by Senior Sustainability Consultant qmlgxppzvg for xtsytjijyz, adhering to GHG Protocol and 2026 LSR Standard.</dc:description>
  <dc:language>en</dc:language>
  <cp:keywords/>
  <dcterms:created xsi:type="dcterms:W3CDTF">2026-05-30T11:34:49Z</dcterms:created>
  <dcterms:modified xsi:type="dcterms:W3CDTF">2026-05-30T11:34:49Z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