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fptutwouzf</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fptutwouzf</w:t>
      </w:r>
    </w:p>
    <w:p>
      <w:pPr>
        <w:pStyle w:val="BodyText"/>
      </w:pPr>
      <w:r>
        <w:rPr>
          <w:bCs/>
          <w:b/>
        </w:rPr>
        <w:t xml:space="preserve">Accounting Standard:</w:t>
      </w:r>
      <w:r>
        <w:t xml:space="preserve"> </w:t>
      </w:r>
      <w:r>
        <w:t xml:space="preserve">GHG Protocol</w:t>
      </w:r>
    </w:p>
    <w:p>
      <w:pPr>
        <w:pStyle w:val="BodyText"/>
      </w:pPr>
      <w:r>
        <w:rPr>
          <w:bCs/>
          <w:b/>
        </w:rPr>
        <w:t xml:space="preserve">Company Name:</w:t>
      </w:r>
      <w:r>
        <w:t xml:space="preserve"> </w:t>
      </w:r>
      <w:r>
        <w:t xml:space="preserve">wntntrgyfm</w:t>
      </w:r>
    </w:p>
    <w:p>
      <w:pPr>
        <w:pStyle w:val="BodyText"/>
      </w:pPr>
      <w:r>
        <w:rPr>
          <w:bCs/>
          <w:b/>
        </w:rPr>
        <w:t xml:space="preserve">Senior Sustainability Consultant:</w:t>
      </w:r>
      <w:r>
        <w:t xml:space="preserve"> </w:t>
      </w:r>
      <w:r>
        <w:t xml:space="preserve">sfjhqpndhy</w:t>
      </w:r>
    </w:p>
    <w:p>
      <w:pPr>
        <w:pStyle w:val="BodyText"/>
      </w:pPr>
      <w:r>
        <w:t xml:space="preserve">Disclaimer: This report is generated based on available data and industry standards.</w:t>
      </w:r>
      <w:r>
        <w:t xml:space="preserve"> </w:t>
      </w:r>
      <w:r>
        <w:t xml:space="preserve">The accuracy of the calculations relies on the completeness and precision of the provided input parameters.</w:t>
      </w:r>
    </w:p>
    <w:bookmarkEnd w:id="20"/>
    <w:bookmarkStart w:id="49" w:name="X54b9190a40be835ab0b83cf97c8bd17da129e65"/>
    <w:p>
      <w:pPr>
        <w:pStyle w:val="Heading1"/>
      </w:pPr>
      <w:r>
        <w:t xml:space="preserve">Product Carbon Footprint Analysis Report for fptutwouzf</w:t>
      </w:r>
    </w:p>
    <w:p>
      <w:pPr>
        <w:pStyle w:val="FirstParagraph"/>
      </w:pPr>
      <w:r>
        <w:rPr>
          <w:bCs/>
          <w:b/>
        </w:rPr>
        <w:t xml:space="preserve">Generated Date:</w:t>
      </w:r>
      <w:r>
        <w:t xml:space="preserve"> </w:t>
      </w:r>
      <w:r>
        <w:t xml:space="preserve">May 20, 2026</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high-detail Product Carbon Footprint (PCF) analysis for the product</w:t>
      </w:r>
      <w:r>
        <w:t xml:space="preserve"> </w:t>
      </w:r>
      <w:r>
        <w:rPr>
          <w:bCs/>
          <w:b/>
        </w:rPr>
        <w:t xml:space="preserve">fptutwouzf</w:t>
      </w:r>
      <w:r>
        <w:t xml:space="preserve">,</w:t>
      </w:r>
      <w:r>
        <w:t xml:space="preserve"> </w:t>
      </w:r>
      <w:r>
        <w:t xml:space="preserve">manufactured by</w:t>
      </w:r>
      <w:r>
        <w:t xml:space="preserve"> </w:t>
      </w:r>
      <w:r>
        <w:rPr>
          <w:bCs/>
          <w:b/>
        </w:rPr>
        <w:t xml:space="preserve">wntntrgyfm</w:t>
      </w:r>
      <w:r>
        <w:t xml:space="preserve">. The analysis was conducted by</w:t>
      </w:r>
      <w:r>
        <w:t xml:space="preserve"> </w:t>
      </w:r>
      <w:r>
        <w:rPr>
          <w:bCs/>
          <w:b/>
        </w:rPr>
        <w:t xml:space="preserve">sfjhqpndhy</w:t>
      </w:r>
      <w:r>
        <w:t xml:space="preserve">, a Senior Sustainability Consultant</w:t>
      </w:r>
      <w:r>
        <w:t xml:space="preserve"> </w:t>
      </w:r>
      <w:r>
        <w:t xml:space="preserve">specializing in GHG Protocol, adhering strictly to the GHG Protocol accounting standard, including the 2026 Land Sector and Removals (LSR) update,</w:t>
      </w:r>
      <w:r>
        <w:t xml:space="preserve"> </w:t>
      </w:r>
      <w:r>
        <w:t xml:space="preserve">and ensuring at least 95% coverage for Scope 3 emissions. The goal is to quantify the greenhouse gas (GHG) emissions</w:t>
      </w:r>
      <w:r>
        <w:t xml:space="preserve"> </w:t>
      </w:r>
      <w:r>
        <w:t xml:space="preserve">associated with the product\'s lifecycle, identify emission hotspots, and provide a foundation for reduction strategies.</w:t>
      </w:r>
      <w:r>
        <w:t xml:space="preserve"> </w:t>
      </w:r>
      <w:r>
        <w:t xml:space="preserve">Illustrative data has been used for specific parameters where direct numerical values were not provided,</w:t>
      </w:r>
      <w:r>
        <w:t xml:space="preserve"> </w:t>
      </w:r>
      <w:r>
        <w:t xml:space="preserve">as detailed in the relevant sections.</w:t>
      </w:r>
    </w:p>
    <w:p>
      <w:r>
        <w:pict>
          <v:rect style="width:0;height:1.5pt" o:hralign="center" o:hrstd="t" o:hr="t"/>
        </w:pict>
      </w:r>
    </w:p>
    <w:bookmarkEnd w:id="21"/>
    <w:bookmarkStart w:id="27" w:name="define-scope"/>
    <w:p>
      <w:pPr>
        <w:pStyle w:val="Heading2"/>
      </w:pPr>
      <w:r>
        <w:t xml:space="preserve">1. Define Scope</w:t>
      </w:r>
    </w:p>
    <w:bookmarkStart w:id="22" w:name="functional-unit"/>
    <w:p>
      <w:pPr>
        <w:pStyle w:val="Heading3"/>
      </w:pPr>
      <w:r>
        <w:t xml:space="preserve">1.1 Functional Unit</w:t>
      </w:r>
    </w:p>
    <w:p>
      <w:pPr>
        <w:pStyle w:val="FirstParagraph"/>
      </w:pPr>
      <w:r>
        <w:t xml:space="preserve">The functional unit for this PCF analysis is defined as</w:t>
      </w:r>
      <w:r>
        <w:t xml:space="preserve"> </w:t>
      </w:r>
      <w:r>
        <w:rPr>
          <w:bCs/>
          <w:b/>
        </w:rPr>
        <w:t xml:space="preserve">1.0 unit</w:t>
      </w:r>
      <w:r>
        <w:t xml:space="preserve"> </w:t>
      </w:r>
      <w:r>
        <w:t xml:space="preserve">of fptutwouzf. This represents the quantified performance of the product for which the environmental impacts are assessed.</w:t>
      </w:r>
    </w:p>
    <w:bookmarkEnd w:id="22"/>
    <w:bookmarkStart w:id="23" w:name="system-boundary"/>
    <w:p>
      <w:pPr>
        <w:pStyle w:val="Heading3"/>
      </w:pPr>
      <w:r>
        <w:t xml:space="preserve">1.2 System Boundary</w:t>
      </w:r>
    </w:p>
    <w:p>
      <w:pPr>
        <w:pStyle w:val="FirstParagraph"/>
      </w:pPr>
      <w:r>
        <w:t xml:space="preserve">The system boundary for this assessment is</w:t>
      </w:r>
      <w:r>
        <w:t xml:space="preserve"> </w:t>
      </w:r>
      <w:r>
        <w:rPr>
          <w:bCs/>
          <w:b/>
        </w:rPr>
        <w:t xml:space="preserve">factory_gate</w:t>
      </w:r>
      <w:r>
        <w:t xml:space="preserve">. This means the analysis includes all activities from raw material extraction through manufacturing processes up to the point the finished product leaves the factory gate. For comprehensive GHG Protocol compliance and in line with 2026 requirements, this report extends the analysis to include selected downstream Scope 3 categories (Use Phase and End-of-Life) to achieve a more holistic view of the product\'s impact throughout its value chain.</w:t>
      </w:r>
    </w:p>
    <w:bookmarkEnd w:id="23"/>
    <w:bookmarkStart w:id="24" w:name="geographic-scope"/>
    <w:p>
      <w:pPr>
        <w:pStyle w:val="Heading3"/>
      </w:pPr>
      <w:r>
        <w:t xml:space="preserve">1.3 Geographic Scope</w:t>
      </w:r>
    </w:p>
    <w:p>
      <w:pPr>
        <w:pStyle w:val="FirstParagraph"/>
      </w:pPr>
      <w:r>
        <w:t xml:space="preserve">The final production country is</w:t>
      </w:r>
      <w:r>
        <w:t xml:space="preserve"> </w:t>
      </w:r>
      <w:r>
        <w:rPr>
          <w:bCs/>
          <w:b/>
        </w:rPr>
        <w:t xml:space="preserve">China</w:t>
      </w:r>
      <w:r>
        <w:t xml:space="preserve">, with a primary supply chain focus on</w:t>
      </w:r>
      <w:r>
        <w:t xml:space="preserve"> </w:t>
      </w:r>
      <w:r>
        <w:rPr>
          <w:bCs/>
          <w:b/>
        </w:rPr>
        <w:t xml:space="preserve">Europe</w:t>
      </w:r>
      <w:r>
        <w:t xml:space="preserve">. This geographical context influences the selection of regional electricity grid mixes, transport emission factors, and other country-specific data where applicable.</w:t>
      </w:r>
    </w:p>
    <w:bookmarkEnd w:id="24"/>
    <w:bookmarkStart w:id="25" w:name="accounting-standard"/>
    <w:p>
      <w:pPr>
        <w:pStyle w:val="Heading3"/>
      </w:pPr>
      <w:r>
        <w:t xml:space="preserve">1.4 Accounting Standard</w:t>
      </w:r>
    </w:p>
    <w:p>
      <w:pPr>
        <w:pStyle w:val="FirstParagraph"/>
      </w:pPr>
      <w:r>
        <w:t xml:space="preserve">This Product Carbon Footprint analysis strictly adheres to the</w:t>
      </w:r>
      <w:r>
        <w:t xml:space="preserve"> </w:t>
      </w:r>
      <w:r>
        <w:rPr>
          <w:bCs/>
          <w:b/>
        </w:rPr>
        <w:t xml:space="preserve">GHG Protocol (Product Life Cycle Accounting and Reporting Standard)</w:t>
      </w:r>
      <w:r>
        <w:t xml:space="preserve">. Emissions are categorized into Scope 1 (direct emissions from owned or controlled sources), Scope 2 (indirect emissions from the generation of purchased energy), and Scope 3 (all other indirect emissions that occur in the value chain of the reporting company, both upstream and downstream). In accordance with upcoming 2026 requirements, efforts have been made to ensure at least 95% coverage for Scope 3 reporting.</w:t>
      </w:r>
    </w:p>
    <w:bookmarkEnd w:id="25"/>
    <w:bookmarkStart w:id="26" w:name="allocation"/>
    <w:p>
      <w:pPr>
        <w:pStyle w:val="Heading3"/>
      </w:pPr>
      <w:r>
        <w:t xml:space="preserve">1.5 Allocation</w:t>
      </w:r>
    </w:p>
    <w:p>
      <w:pPr>
        <w:pStyle w:val="FirstParagraph"/>
      </w:pPr>
      <w:r>
        <w:t xml:space="preserve">Where co-products or waste materials with economic value are produced, allocation rules are applied based on established GHG Protocol guidance, primarily mass or economic allocation, to fairly distribute environmental burdens. Given the product-focused nature and \'factory_gate\' boundary, specific details on allocation are applied to shared processes within the manufacturing stage if relevant, and generally through the use of cradle-to-gate emission factors for materials.</w:t>
      </w:r>
    </w:p>
    <w:p>
      <w:r>
        <w:pict>
          <v:rect style="width:0;height:1.5pt" o:hralign="center" o:hrstd="t" o:hr="t"/>
        </w:pict>
      </w:r>
    </w:p>
    <w:bookmarkEnd w:id="26"/>
    <w:bookmarkEnd w:id="27"/>
    <w:bookmarkStart w:id="34" w:name="X668a29dea6996859d52024a913312988ccfa3c9"/>
    <w:p>
      <w:pPr>
        <w:pStyle w:val="Heading2"/>
      </w:pPr>
      <w:r>
        <w:t xml:space="preserve">2. Map Lifecycle (LCI Inventory Stages) &amp; 3. Collect Data</w:t>
      </w:r>
    </w:p>
    <w:p>
      <w:pPr>
        <w:pStyle w:val="FirstParagraph"/>
      </w:pPr>
      <w:r>
        <w:t xml:space="preserve">This section details the life cycle stages considered and the data collected for each, serving as the foundation for emission calculations. For parameters indicated as placeholders in the request, illustrative values have been assumed to demonstrate the methodology, with a clear note that actual numerical data would be required for precise calculations.</w:t>
      </w:r>
    </w:p>
    <w:bookmarkStart w:id="29" w:name="X0db8fecdf857dff8a49926c42d0a752e1bda835"/>
    <w:p>
      <w:pPr>
        <w:pStyle w:val="Heading3"/>
      </w:pPr>
      <w:r>
        <w:t xml:space="preserve">3.1 Bill of Materials (BOM) Analysis - Upstream (Scope 3, Category 1: Purchased Goods and Services)</w:t>
      </w:r>
    </w:p>
    <w:p>
      <w:pPr>
        <w:pStyle w:val="FirstParagraph"/>
      </w:pPr>
      <w:r>
        <w:t xml:space="preserve">The detailed Bill of Materials (BOM) provides a high-accuracy basis for calculating material impacts. For the purpose of this report, we use an illustrative BOM structure to demonstrate the calculation method, based on the specified format (`ID, Description, Category, Process, Qty, Unit, Emission Factor, Total Carbon`). In a real-world scenario, the exact content of `zglxwmqv` would be parsed and used.</w:t>
      </w:r>
    </w:p>
    <w:bookmarkStart w:id="28" w:name="Xcac8ded2a982ea64c71b3b81307abef549ac548"/>
    <w:p>
      <w:pPr>
        <w:pStyle w:val="Heading4"/>
      </w:pPr>
      <w:r>
        <w:t xml:space="preserve">Illustrative Detailed Bill of Materials (BOM) for fptutwouzf</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 or kg)</w:t>
            </w:r>
          </w:p>
        </w:tc>
        <w:tc>
          <w:tcPr/>
          <w:p>
            <w:pPr>
              <w:pStyle w:val="Compact"/>
              <w:jc w:val="left"/>
            </w:pPr>
            <w:r>
              <w:t xml:space="preserve">Total Carbon (kg CO2e)</w:t>
            </w:r>
          </w:p>
        </w:tc>
      </w:tr>
      <w:tr>
        <w:tc>
          <w:tcPr/>
          <w:p>
            <w:pPr>
              <w:pStyle w:val="Compact"/>
              <w:jc w:val="left"/>
            </w:pPr>
            <w:r>
              <w:t xml:space="preserve">M-001</w:t>
            </w:r>
          </w:p>
        </w:tc>
        <w:tc>
          <w:tcPr/>
          <w:p>
            <w:pPr>
              <w:pStyle w:val="Compact"/>
              <w:jc w:val="left"/>
            </w:pPr>
            <w:r>
              <w:t xml:space="preserve">Aluminum Alloy Casing</w:t>
            </w:r>
          </w:p>
        </w:tc>
        <w:tc>
          <w:tcPr/>
          <w:p>
            <w:pPr>
              <w:pStyle w:val="Compact"/>
              <w:jc w:val="left"/>
            </w:pPr>
            <w:r>
              <w:t xml:space="preserve">Metal</w:t>
            </w:r>
          </w:p>
        </w:tc>
        <w:tc>
          <w:tcPr/>
          <w:p>
            <w:pPr>
              <w:pStyle w:val="Compact"/>
              <w:jc w:val="left"/>
            </w:pPr>
            <w:r>
              <w:t xml:space="preserve">Extrusion &amp; Machining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8.5</w:t>
            </w:r>
          </w:p>
        </w:tc>
        <w:tc>
          <w:tcPr/>
          <w:p>
            <w:pPr>
              <w:pStyle w:val="Compact"/>
              <w:jc w:val="left"/>
            </w:pPr>
            <w:r>
              <w:t xml:space="preserve">4.25</w:t>
            </w:r>
          </w:p>
        </w:tc>
      </w:tr>
      <w:tr>
        <w:tc>
          <w:tcPr/>
          <w:p>
            <w:pPr>
              <w:pStyle w:val="Compact"/>
              <w:jc w:val="left"/>
            </w:pPr>
            <w:r>
              <w:t xml:space="preserve">M-002</w:t>
            </w:r>
          </w:p>
        </w:tc>
        <w:tc>
          <w:tcPr/>
          <w:p>
            <w:pPr>
              <w:pStyle w:val="Compact"/>
              <w:jc w:val="left"/>
            </w:pPr>
            <w:r>
              <w:t xml:space="preserve">Recycled ABS Plastic Enclosure</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2.2</w:t>
            </w:r>
          </w:p>
        </w:tc>
        <w:tc>
          <w:tcPr/>
          <w:p>
            <w:pPr>
              <w:pStyle w:val="Compact"/>
              <w:jc w:val="left"/>
            </w:pPr>
            <w:r>
              <w:t xml:space="preserve">0.66</w:t>
            </w:r>
          </w:p>
        </w:tc>
      </w:tr>
      <w:tr>
        <w:tc>
          <w:tcPr/>
          <w:p>
            <w:pPr>
              <w:pStyle w:val="Compact"/>
              <w:jc w:val="left"/>
            </w:pPr>
            <w:r>
              <w:t xml:space="preserve">M-003</w:t>
            </w:r>
          </w:p>
        </w:tc>
        <w:tc>
          <w:tcPr/>
          <w:p>
            <w:pPr>
              <w:pStyle w:val="Compact"/>
              <w:jc w:val="left"/>
            </w:pPr>
            <w:r>
              <w:t xml:space="preserve">Silicon Chipset</w:t>
            </w:r>
          </w:p>
        </w:tc>
        <w:tc>
          <w:tcPr/>
          <w:p>
            <w:pPr>
              <w:pStyle w:val="Compact"/>
              <w:jc w:val="left"/>
            </w:pPr>
            <w:r>
              <w:t xml:space="preserve">Electronics</w:t>
            </w:r>
          </w:p>
        </w:tc>
        <w:tc>
          <w:tcPr/>
          <w:p>
            <w:pPr>
              <w:pStyle w:val="Compact"/>
              <w:jc w:val="left"/>
            </w:pPr>
            <w:r>
              <w:t xml:space="preserve">Semiconductor Mfg</w:t>
            </w:r>
          </w:p>
        </w:tc>
        <w:tc>
          <w:tcPr/>
          <w:p>
            <w:pPr>
              <w:pStyle w:val="Compact"/>
              <w:jc w:val="left"/>
            </w:pPr>
            <w:r>
              <w:t xml:space="preserve">0.01</w:t>
            </w:r>
          </w:p>
        </w:tc>
        <w:tc>
          <w:tcPr/>
          <w:p>
            <w:pPr>
              <w:pStyle w:val="Compact"/>
              <w:jc w:val="left"/>
            </w:pPr>
            <w:r>
              <w:t xml:space="preserve">kg</w:t>
            </w:r>
          </w:p>
        </w:tc>
        <w:tc>
          <w:tcPr/>
          <w:p>
            <w:pPr>
              <w:pStyle w:val="Compact"/>
              <w:jc w:val="left"/>
            </w:pPr>
            <w:r>
              <w:t xml:space="preserve">500</w:t>
            </w:r>
          </w:p>
        </w:tc>
        <w:tc>
          <w:tcPr/>
          <w:p>
            <w:pPr>
              <w:pStyle w:val="Compact"/>
              <w:jc w:val="left"/>
            </w:pPr>
            <w:r>
              <w:t xml:space="preserve">5.00</w:t>
            </w:r>
          </w:p>
        </w:tc>
      </w:tr>
      <w:tr>
        <w:tc>
          <w:tcPr/>
          <w:p>
            <w:pPr>
              <w:pStyle w:val="Compact"/>
              <w:jc w:val="left"/>
            </w:pPr>
            <w:r>
              <w:t xml:space="preserve">M-004</w:t>
            </w:r>
          </w:p>
        </w:tc>
        <w:tc>
          <w:tcPr/>
          <w:p>
            <w:pPr>
              <w:pStyle w:val="Compact"/>
              <w:jc w:val="left"/>
            </w:pPr>
            <w:r>
              <w:t xml:space="preserve">Copper Wiring</w:t>
            </w:r>
          </w:p>
        </w:tc>
        <w:tc>
          <w:tcPr/>
          <w:p>
            <w:pPr>
              <w:pStyle w:val="Compact"/>
              <w:jc w:val="left"/>
            </w:pPr>
            <w:r>
              <w:t xml:space="preserve">Metal</w:t>
            </w:r>
          </w:p>
        </w:tc>
        <w:tc>
          <w:tcPr/>
          <w:p>
            <w:pPr>
              <w:pStyle w:val="Compact"/>
              <w:jc w:val="left"/>
            </w:pPr>
            <w:r>
              <w:t xml:space="preserve">Drawing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4.0</w:t>
            </w:r>
          </w:p>
        </w:tc>
        <w:tc>
          <w:tcPr/>
          <w:p>
            <w:pPr>
              <w:pStyle w:val="Compact"/>
              <w:jc w:val="left"/>
            </w:pPr>
            <w:r>
              <w:t xml:space="preserve">0.20</w:t>
            </w:r>
          </w:p>
        </w:tc>
      </w:tr>
      <w:tr>
        <w:tc>
          <w:tcPr/>
          <w:p>
            <w:pPr>
              <w:pStyle w:val="Compact"/>
              <w:jc w:val="left"/>
            </w:pPr>
            <w:r>
              <w:t xml:space="preserve">M-005</w:t>
            </w:r>
          </w:p>
        </w:tc>
        <w:tc>
          <w:tcPr/>
          <w:p>
            <w:pPr>
              <w:pStyle w:val="Compact"/>
              <w:jc w:val="left"/>
            </w:pPr>
            <w:r>
              <w:t xml:space="preserve">Lithium-ion Battery (Small)</w:t>
            </w:r>
          </w:p>
        </w:tc>
        <w:tc>
          <w:tcPr/>
          <w:p>
            <w:pPr>
              <w:pStyle w:val="Compact"/>
              <w:jc w:val="left"/>
            </w:pPr>
            <w:r>
              <w:t xml:space="preserve">Electronics</w:t>
            </w:r>
          </w:p>
        </w:tc>
        <w:tc>
          <w:tcPr/>
          <w:p>
            <w:pPr>
              <w:pStyle w:val="Compact"/>
              <w:jc w:val="left"/>
            </w:pPr>
            <w:r>
              <w:t xml:space="preserve">Battery Production</w:t>
            </w:r>
          </w:p>
        </w:tc>
        <w:tc>
          <w:tcPr/>
          <w:p>
            <w:pPr>
              <w:pStyle w:val="Compact"/>
              <w:jc w:val="left"/>
            </w:pPr>
            <w:r>
              <w:t xml:space="preserve">0.1</w:t>
            </w:r>
          </w:p>
        </w:tc>
        <w:tc>
          <w:tcPr/>
          <w:p>
            <w:pPr>
              <w:pStyle w:val="Compact"/>
              <w:jc w:val="left"/>
            </w:pPr>
            <w:r>
              <w:t xml:space="preserve">unit</w:t>
            </w:r>
          </w:p>
        </w:tc>
        <w:tc>
          <w:tcPr/>
          <w:p>
            <w:pPr>
              <w:pStyle w:val="Compact"/>
              <w:jc w:val="left"/>
            </w:pPr>
            <w:r>
              <w:t xml:space="preserve">15.0</w:t>
            </w:r>
          </w:p>
        </w:tc>
        <w:tc>
          <w:tcPr/>
          <w:p>
            <w:pPr>
              <w:pStyle w:val="Compact"/>
              <w:jc w:val="left"/>
            </w:pPr>
            <w:r>
              <w:t xml:space="preserve">1.50</w:t>
            </w:r>
          </w:p>
        </w:tc>
      </w:tr>
      <w:tr>
        <w:tc>
          <w:tcPr/>
          <w:p>
            <w:pPr>
              <w:pStyle w:val="Compact"/>
              <w:jc w:val="left"/>
            </w:pPr>
            <w:r>
              <w:t xml:space="preserve">M-006</w:t>
            </w:r>
          </w:p>
        </w:tc>
        <w:tc>
          <w:tcPr/>
          <w:p>
            <w:pPr>
              <w:pStyle w:val="Compact"/>
              <w:jc w:val="left"/>
            </w:pPr>
            <w:r>
              <w:t xml:space="preserve">Packaging (Recycled Cardboard)</w:t>
            </w:r>
          </w:p>
        </w:tc>
        <w:tc>
          <w:tcPr/>
          <w:p>
            <w:pPr>
              <w:pStyle w:val="Compact"/>
              <w:jc w:val="left"/>
            </w:pPr>
            <w:r>
              <w:t xml:space="preserve">Paper/Pulp</w:t>
            </w:r>
          </w:p>
        </w:tc>
        <w:tc>
          <w:tcPr/>
          <w:p>
            <w:pPr>
              <w:pStyle w:val="Compact"/>
              <w:jc w:val="left"/>
            </w:pPr>
            <w:r>
              <w:t xml:space="preserve">Corrugation</w:t>
            </w:r>
          </w:p>
        </w:tc>
        <w:tc>
          <w:tcPr/>
          <w:p>
            <w:pPr>
              <w:pStyle w:val="Compact"/>
              <w:jc w:val="left"/>
            </w:pPr>
            <w:r>
              <w:t xml:space="preserve">0.2</w:t>
            </w:r>
          </w:p>
        </w:tc>
        <w:tc>
          <w:tcPr/>
          <w:p>
            <w:pPr>
              <w:pStyle w:val="Compact"/>
              <w:jc w:val="left"/>
            </w:pPr>
            <w:r>
              <w:t xml:space="preserve">kg</w:t>
            </w:r>
          </w:p>
        </w:tc>
        <w:tc>
          <w:tcPr/>
          <w:p>
            <w:pPr>
              <w:pStyle w:val="Compact"/>
              <w:jc w:val="left"/>
            </w:pPr>
            <w:r>
              <w:t xml:space="preserve">0.8</w:t>
            </w:r>
          </w:p>
        </w:tc>
        <w:tc>
          <w:tcPr/>
          <w:p>
            <w:pPr>
              <w:pStyle w:val="Compact"/>
              <w:jc w:val="left"/>
            </w:pPr>
            <w:r>
              <w:t xml:space="preserve">0.16</w:t>
            </w:r>
          </w:p>
        </w:tc>
      </w:tr>
      <w:tr>
        <w:tc>
          <w:tcPr>
            <w:gridSpan w:val="7"/>
          </w:tcPr>
          <w:p>
            <w:pPr>
              <w:pStyle w:val="Compact"/>
              <w:jc w:val="right"/>
            </w:pPr>
            <w:r>
              <w:rPr>
                <w:bCs/>
                <w:b/>
              </w:rPr>
              <w:t xml:space="preserve">Total Material Carbon Footprint:</w:t>
            </w:r>
          </w:p>
        </w:tc>
        <w:tc>
          <w:tcPr/>
          <w:p>
            <w:pPr>
              <w:pStyle w:val="Compact"/>
              <w:jc w:val="left"/>
            </w:pPr>
            <w:r>
              <w:rPr>
                <w:bCs/>
                <w:b/>
              </w:rPr>
              <w:t xml:space="preserve">11.77</w:t>
            </w:r>
          </w:p>
        </w:tc>
      </w:tr>
    </w:tbl>
    <w:p>
      <w:pPr>
        <w:pStyle w:val="BodyText"/>
      </w:pPr>
      <w:r>
        <w:rPr>
          <w:iCs/>
          <w:i/>
        </w:rPr>
        <w:t xml:space="preserve">Note: Emission factors are illustrative, generally based on Ecoinvent/DEFRA averages for cradle-to-gate material production. The \'Total Carbon\' for each item is calculated as Qty * Emission Factor.</w:t>
      </w:r>
    </w:p>
    <w:bookmarkEnd w:id="28"/>
    <w:bookmarkEnd w:id="29"/>
    <w:bookmarkStart w:id="30" w:name="X556c65936ff3d30963299b437e3dc51154bac24"/>
    <w:p>
      <w:pPr>
        <w:pStyle w:val="Heading3"/>
      </w:pPr>
      <w:r>
        <w:t xml:space="preserve">3.2 Production Energy Inputs (Scope 2: Purchased Electricity)</w:t>
      </w:r>
    </w:p>
    <w:p>
      <w:pPr>
        <w:pStyle w:val="FirstParagraph"/>
      </w:pPr>
      <w:r>
        <w:t xml:space="preserve">The energy consumed during the production phase is a significant contributor to the PCF. The following illustrative data is used for calculations:</w:t>
      </w:r>
    </w:p>
    <w:p>
      <w:pPr>
        <w:numPr>
          <w:ilvl w:val="0"/>
          <w:numId w:val="1001"/>
        </w:numPr>
        <w:pStyle w:val="Compact"/>
      </w:pPr>
      <w:r>
        <w:rPr>
          <w:bCs/>
          <w:b/>
        </w:rPr>
        <w:t xml:space="preserve">Renewable Energy Usage:</w:t>
      </w:r>
      <w:r>
        <w:t xml:space="preserve"> </w:t>
      </w:r>
      <w:r>
        <w:t xml:space="preserve">Illustrative value:</w:t>
      </w:r>
      <w:r>
        <w:t xml:space="preserve"> </w:t>
      </w:r>
      <w:r>
        <w:rPr>
          <w:bCs/>
          <w:b/>
        </w:rPr>
        <w:t xml:space="preserve">wpkeprxkdi</w:t>
      </w:r>
      <w:r>
        <w:t xml:space="preserve"> </w:t>
      </w:r>
      <w:r>
        <w:t xml:space="preserve">(e.g., 75%)</w:t>
      </w:r>
    </w:p>
    <w:p>
      <w:pPr>
        <w:numPr>
          <w:ilvl w:val="0"/>
          <w:numId w:val="1001"/>
        </w:numPr>
        <w:pStyle w:val="Compact"/>
      </w:pPr>
      <w:r>
        <w:rPr>
          <w:bCs/>
          <w:b/>
        </w:rPr>
        <w:t xml:space="preserve">Energy Intensity (kWh/unit):</w:t>
      </w:r>
      <w:r>
        <w:t xml:space="preserve"> </w:t>
      </w:r>
      <w:r>
        <w:t xml:space="preserve">Illustrative value:</w:t>
      </w:r>
      <w:r>
        <w:t xml:space="preserve"> </w:t>
      </w:r>
      <w:r>
        <w:rPr>
          <w:bCs/>
          <w:b/>
        </w:rPr>
        <w:t xml:space="preserve">knyelvnthy</w:t>
      </w:r>
      <w:r>
        <w:t xml:space="preserve"> </w:t>
      </w:r>
      <w:r>
        <w:t xml:space="preserve">(e.g., 1.5 kWh/unit)</w:t>
      </w:r>
    </w:p>
    <w:p>
      <w:pPr>
        <w:pStyle w:val="FirstParagraph"/>
      </w:pPr>
      <w:r>
        <w:t xml:space="preserve">Assuming `wpkeprxkdi` is 75% and `knyelvnthy` is 1.5 kWh/unit:</w:t>
      </w:r>
      <w:r>
        <w:t xml:space="preserve"> </w:t>
      </w:r>
      <w:r>
        <w:t xml:space="preserve">Total energy consumption = 1.5 kWh/unit.</w:t>
      </w:r>
      <w:r>
        <w:t xml:space="preserve"> </w:t>
      </w:r>
      <w:r>
        <w:t xml:space="preserve">Non-renewable energy = 1.5 kWh * (1 - 0.75) = 0.375 kWh/unit.</w:t>
      </w:r>
      <w:r>
        <w:t xml:space="preserve"> </w:t>
      </w:r>
      <w:r>
        <w:t xml:space="preserve">Renewable energy = 1.5 kWh * 0.75 = 1.125 kWh/unit.</w:t>
      </w:r>
      <w:r>
        <w:t xml:space="preserve"> </w:t>
      </w:r>
      <w:r>
        <w:t xml:space="preserve">Emission factor for grid electricity in China (illustrative, e.g., 0.58 kg CO2e/kWh).</w:t>
      </w:r>
      <w:r>
        <w:t xml:space="preserve"> </w:t>
      </w:r>
      <w:r>
        <w:t xml:space="preserve">Production energy emissions = 0.375 kWh/unit * 0.58 kg CO2e/kWh = 0.2175 kg CO2e/unit.</w:t>
      </w:r>
    </w:p>
    <w:bookmarkEnd w:id="30"/>
    <w:bookmarkStart w:id="31" w:name="X314239869f41f801ee216f3cb0c90694bd56d40"/>
    <w:p>
      <w:pPr>
        <w:pStyle w:val="Heading3"/>
      </w:pPr>
      <w:r>
        <w:t xml:space="preserve">3.3 Transport Data (Scope 3, Category 4: Transportation and Distribution Upstream)</w:t>
      </w:r>
    </w:p>
    <w:p>
      <w:pPr>
        <w:pStyle w:val="FirstParagraph"/>
      </w:pPr>
      <w:r>
        <w:t xml:space="preserve">Transportation of raw materials and components from European suppliers to the manufacturing facility in China, and subsequently to the distribution centers, is accounted for. The following illustrative data is considered:</w:t>
      </w:r>
    </w:p>
    <w:p>
      <w:pPr>
        <w:numPr>
          <w:ilvl w:val="0"/>
          <w:numId w:val="1002"/>
        </w:numPr>
        <w:pStyle w:val="Compact"/>
      </w:pPr>
      <w:r>
        <w:rPr>
          <w:bCs/>
          <w:b/>
        </w:rPr>
        <w:t xml:space="preserve">Transport Mode:</w:t>
      </w:r>
      <w:r>
        <w:t xml:space="preserve"> </w:t>
      </w:r>
      <w:r>
        <w:t xml:space="preserve">Illustrative value:</w:t>
      </w:r>
      <w:r>
        <w:t xml:space="preserve"> </w:t>
      </w:r>
      <w:r>
        <w:rPr>
          <w:bCs/>
          <w:b/>
        </w:rPr>
        <w:t xml:space="preserve">Select Mode</w:t>
      </w:r>
      <w:r>
        <w:t xml:space="preserve"> </w:t>
      </w:r>
      <w:r>
        <w:t xml:space="preserve">(e.g., Ocean Freight)</w:t>
      </w:r>
    </w:p>
    <w:p>
      <w:pPr>
        <w:numPr>
          <w:ilvl w:val="0"/>
          <w:numId w:val="1002"/>
        </w:numPr>
        <w:pStyle w:val="Compact"/>
      </w:pPr>
      <w:r>
        <w:rPr>
          <w:bCs/>
          <w:b/>
        </w:rPr>
        <w:t xml:space="preserve">Transport Distance:</w:t>
      </w:r>
      <w:r>
        <w:t xml:space="preserve"> </w:t>
      </w:r>
      <w:r>
        <w:t xml:space="preserve">Illustrative value:</w:t>
      </w:r>
      <w:r>
        <w:t xml:space="preserve"> </w:t>
      </w:r>
      <w:r>
        <w:rPr>
          <w:bCs/>
          <w:b/>
        </w:rPr>
        <w:t xml:space="preserve">ztimtmxosq</w:t>
      </w:r>
      <w:r>
        <w:t xml:space="preserve"> </w:t>
      </w:r>
      <w:r>
        <w:t xml:space="preserve">(e.g., 10,000 km)</w:t>
      </w:r>
    </w:p>
    <w:p>
      <w:pPr>
        <w:numPr>
          <w:ilvl w:val="0"/>
          <w:numId w:val="1002"/>
        </w:numPr>
        <w:pStyle w:val="Compact"/>
      </w:pPr>
      <w:r>
        <w:rPr>
          <w:bCs/>
          <w:b/>
        </w:rPr>
        <w:t xml:space="preserve">Last-Mile Delivery Channel:</w:t>
      </w:r>
      <w:r>
        <w:t xml:space="preserve"> </w:t>
      </w:r>
      <w:r>
        <w:t xml:space="preserve">Illustrative value:</w:t>
      </w:r>
      <w:r>
        <w:t xml:space="preserve"> </w:t>
      </w:r>
      <w:r>
        <w:rPr>
          <w:bCs/>
          <w:b/>
        </w:rPr>
        <w:t xml:space="preserve">Delivery Type</w:t>
      </w:r>
      <w:r>
        <w:t xml:space="preserve"> </w:t>
      </w:r>
      <w:r>
        <w:t xml:space="preserve">(e.g., Road Freight - Parcel Post)</w:t>
      </w:r>
    </w:p>
    <w:p>
      <w:pPr>
        <w:pStyle w:val="FirstParagraph"/>
      </w:pPr>
      <w:r>
        <w:t xml:space="preserve">Illustrative calculation for transport:</w:t>
      </w:r>
      <w:r>
        <w:t xml:space="preserve"> </w:t>
      </w:r>
      <w:r>
        <w:t xml:space="preserve">Assuming Ocean Freight for 10,000 km and a cargo ship emission factor (e.g., 0.016 kg CO2e/tonne-km).</w:t>
      </w:r>
      <w:r>
        <w:t xml:space="preserve"> </w:t>
      </w:r>
      <w:r>
        <w:t xml:space="preserve">Assuming product weight (e.g., 1 kg/unit) for simplicity in transport calculation.</w:t>
      </w:r>
      <w:r>
        <w:t xml:space="preserve"> </w:t>
      </w:r>
      <w:r>
        <w:t xml:space="preserve">Upstream ocean transport emissions = (1 kg / 1000 kg/tonne) * 10,000 km * 0.016 kg CO2e/tonne-km = 0.16 kg CO2e/unit.</w:t>
      </w:r>
      <w:r>
        <w:t xml:space="preserve"> </w:t>
      </w:r>
      <w:r>
        <w:t xml:space="preserve">Last-mile delivery (e.g., Road Freight for 500 km, illustrative emission factor 0.1 kg CO2e/tonne-km for light commercial vehicle/parcel post).</w:t>
      </w:r>
      <w:r>
        <w:t xml:space="preserve"> </w:t>
      </w:r>
      <w:r>
        <w:t xml:space="preserve">Last-mile emissions = (1 kg / 1000 kg/tonne) * 500 km * 0.1 kg CO2e/tonne-km = 0.05 kg CO2e/unit.</w:t>
      </w:r>
      <w:r>
        <w:t xml:space="preserve"> </w:t>
      </w:r>
      <w:r>
        <w:t xml:space="preserve">Total transport emissions (illustrative) = 0.16 + 0.05 = 0.21 kg CO2e/unit.</w:t>
      </w:r>
    </w:p>
    <w:bookmarkEnd w:id="31"/>
    <w:bookmarkStart w:id="32" w:name="X9c47a088dc2010630d22d37d8f68ea322772e33"/>
    <w:p>
      <w:pPr>
        <w:pStyle w:val="Heading3"/>
      </w:pPr>
      <w:r>
        <w:t xml:space="preserve">3.4 Use Phase Data (Scope 3, Category 11: Use of Sold Products)</w:t>
      </w:r>
    </w:p>
    <w:p>
      <w:pPr>
        <w:pStyle w:val="FirstParagraph"/>
      </w:pPr>
      <w:r>
        <w:t xml:space="preserve">The energy consumption during the product\'s use phase is a significant factor for many electronic products. The following illustrative data is used:</w:t>
      </w:r>
    </w:p>
    <w:p>
      <w:pPr>
        <w:numPr>
          <w:ilvl w:val="0"/>
          <w:numId w:val="1003"/>
        </w:numPr>
        <w:pStyle w:val="Compact"/>
      </w:pPr>
      <w:r>
        <w:rPr>
          <w:bCs/>
          <w:b/>
        </w:rPr>
        <w:t xml:space="preserve">Product Lifespan:</w:t>
      </w:r>
      <w:r>
        <w:t xml:space="preserve"> </w:t>
      </w:r>
      <w:r>
        <w:t xml:space="preserve">Illustrative value:</w:t>
      </w:r>
      <w:r>
        <w:t xml:space="preserve"> </w:t>
      </w:r>
      <w:r>
        <w:rPr>
          <w:bCs/>
          <w:b/>
        </w:rPr>
        <w:t xml:space="preserve">zgxeuvtdqx</w:t>
      </w:r>
      <w:r>
        <w:t xml:space="preserve"> </w:t>
      </w:r>
      <w:r>
        <w:t xml:space="preserve">(e.g., 5 years)</w:t>
      </w:r>
    </w:p>
    <w:p>
      <w:pPr>
        <w:numPr>
          <w:ilvl w:val="0"/>
          <w:numId w:val="1003"/>
        </w:numPr>
        <w:pStyle w:val="Compact"/>
      </w:pPr>
      <w:r>
        <w:rPr>
          <w:bCs/>
          <w:b/>
        </w:rPr>
        <w:t xml:space="preserve">Energy Consumption in Use:</w:t>
      </w:r>
      <w:r>
        <w:t xml:space="preserve"> </w:t>
      </w:r>
      <w:r>
        <w:t xml:space="preserve">Illustrative value:</w:t>
      </w:r>
      <w:r>
        <w:t xml:space="preserve"> </w:t>
      </w:r>
      <w:r>
        <w:rPr>
          <w:bCs/>
          <w:b/>
        </w:rPr>
        <w:t xml:space="preserve">xjevpmssrk</w:t>
      </w:r>
      <w:r>
        <w:t xml:space="preserve"> </w:t>
      </w:r>
      <w:r>
        <w:t xml:space="preserve">(e.g., 0.01 kWh/day)</w:t>
      </w:r>
    </w:p>
    <w:p>
      <w:pPr>
        <w:pStyle w:val="FirstParagraph"/>
      </w:pPr>
      <w:r>
        <w:t xml:space="preserve">Illustrative calculation for use phase:</w:t>
      </w:r>
      <w:r>
        <w:t xml:space="preserve"> </w:t>
      </w:r>
      <w:r>
        <w:t xml:space="preserve">Total operational days = 5 years * 365 days/year = 1825 days.</w:t>
      </w:r>
      <w:r>
        <w:t xml:space="preserve"> </w:t>
      </w:r>
      <w:r>
        <w:t xml:space="preserve">Total energy consumption in use = 1825 days * 0.01 kWh/day = 18.25 kWh.</w:t>
      </w:r>
      <w:r>
        <w:t xml:space="preserve"> </w:t>
      </w:r>
      <w:r>
        <w:t xml:space="preserve">Assuming user country grid electricity emission factor (e.g., average EU grid mix 0.24 kg CO2e/kWh).</w:t>
      </w:r>
      <w:r>
        <w:t xml:space="preserve"> </w:t>
      </w:r>
      <w:r>
        <w:t xml:space="preserve">Use phase emissions = 18.25 kWh * 0.24 kg CO2e/kWh = 4.38 kg CO2e/unit.</w:t>
      </w:r>
    </w:p>
    <w:bookmarkEnd w:id="32"/>
    <w:bookmarkStart w:id="33" w:name="X22f9dae0edae5a4ebf0dcf5b8ca74de2c6ea5a4"/>
    <w:p>
      <w:pPr>
        <w:pStyle w:val="Heading3"/>
      </w:pPr>
      <w:r>
        <w:t xml:space="preserve">3.5 End-of-Life (EoL) Scenarios (Scope 3, Category 12: End-of-Life Treatment of Sold Products)</w:t>
      </w:r>
    </w:p>
    <w:p>
      <w:pPr>
        <w:pStyle w:val="FirstParagraph"/>
      </w:pPr>
      <w:r>
        <w:t xml:space="preserve">The end-of-life treatment of fptutwouzf significantly impacts its overall footprint, reflecting circular economy principles. The following illustrative data is considered:</w:t>
      </w:r>
    </w:p>
    <w:p>
      <w:pPr>
        <w:numPr>
          <w:ilvl w:val="0"/>
          <w:numId w:val="1004"/>
        </w:numPr>
        <w:pStyle w:val="Compact"/>
      </w:pPr>
      <w:r>
        <w:rPr>
          <w:bCs/>
          <w:b/>
        </w:rPr>
        <w:t xml:space="preserve">Recyclability Percentage:</w:t>
      </w:r>
      <w:r>
        <w:t xml:space="preserve"> </w:t>
      </w:r>
      <w:r>
        <w:t xml:space="preserve">Illustrative value:</w:t>
      </w:r>
      <w:r>
        <w:t xml:space="preserve"> </w:t>
      </w:r>
      <w:r>
        <w:rPr>
          <w:bCs/>
          <w:b/>
        </w:rPr>
        <w:t xml:space="preserve">vjovqgighr</w:t>
      </w:r>
      <w:r>
        <w:t xml:space="preserve"> </w:t>
      </w:r>
      <w:r>
        <w:t xml:space="preserve">(e.g., 80%)</w:t>
      </w:r>
    </w:p>
    <w:p>
      <w:pPr>
        <w:numPr>
          <w:ilvl w:val="0"/>
          <w:numId w:val="1004"/>
        </w:numPr>
        <w:pStyle w:val="Compact"/>
      </w:pPr>
      <w:r>
        <w:rPr>
          <w:bCs/>
          <w:b/>
        </w:rPr>
        <w:t xml:space="preserve">Circular/Take-back Programs:</w:t>
      </w:r>
      <w:r>
        <w:t xml:space="preserve"> </w:t>
      </w:r>
      <w:r>
        <w:t xml:space="preserve">Illustrative value:</w:t>
      </w:r>
      <w:r>
        <w:t xml:space="preserve"> </w:t>
      </w:r>
      <w:r>
        <w:rPr>
          <w:bCs/>
          <w:b/>
        </w:rPr>
        <w:t xml:space="preserve">mwogtwnuoy</w:t>
      </w:r>
      <w:r>
        <w:t xml:space="preserve"> </w:t>
      </w:r>
      <w:r>
        <w:t xml:space="preserve">(e.g., Yes, established take-back program for key components)</w:t>
      </w:r>
    </w:p>
    <w:p>
      <w:pPr>
        <w:pStyle w:val="FirstParagraph"/>
      </w:pPr>
      <w:r>
        <w:t xml:space="preserve">Illustrative calculation for End-of-Life:</w:t>
      </w:r>
      <w:r>
        <w:t xml:space="preserve"> </w:t>
      </w:r>
      <w:r>
        <w:t xml:space="preserve">Assuming 80% recyclability means 80% of the material mass is recovered and recycled, avoiding virgin material production. The product weight is assumed to be approximately 1 kg (based on BOM components).</w:t>
      </w:r>
      <w:r>
        <w:t xml:space="preserve"> </w:t>
      </w:r>
      <w:r>
        <w:t xml:space="preserve">Disposal emissions for the non-recycled portion (20%): Assume mixed waste disposal emission factor of 0.1 kg CO2e/kg.</w:t>
      </w:r>
      <w:r>
        <w:t xml:space="preserve"> </w:t>
      </w:r>
      <w:r>
        <w:t xml:space="preserve">Disposal emissions = 0.2 kg * 0.1 kg CO2e/kg = 0.02 kg CO2e.</w:t>
      </w:r>
      <w:r>
        <w:t xml:space="preserve"> </w:t>
      </w:r>
      <w:r>
        <w:t xml:space="preserve">Recycling credits for the recycled portion (80%): Assume a net avoided emission (credit) from recycling of -1.0 kg CO2e/kg (average across various materials, representing energy savings and avoided virgin production).</w:t>
      </w:r>
      <w:r>
        <w:t xml:space="preserve"> </w:t>
      </w:r>
      <w:r>
        <w:t xml:space="preserve">Recycling credits = 0.8 kg * -1.0 kg CO2e/kg = -0.8 kg CO2e.</w:t>
      </w:r>
      <w:r>
        <w:t xml:space="preserve"> </w:t>
      </w:r>
      <w:r>
        <w:t xml:space="preserve">Total EoL emissions (illustrative) = 0.02 - 0.8 = -0.78 kg CO2e/unit (a net benefit due to recycling).</w:t>
      </w:r>
    </w:p>
    <w:p>
      <w:r>
        <w:pict>
          <v:rect style="width:0;height:1.5pt" o:hralign="center" o:hrstd="t" o:hr="t"/>
        </w:pict>
      </w:r>
    </w:p>
    <w:bookmarkEnd w:id="33"/>
    <w:bookmarkEnd w:id="34"/>
    <w:bookmarkStart w:id="44" w:name="calculate-emissions"/>
    <w:p>
      <w:pPr>
        <w:pStyle w:val="Heading2"/>
      </w:pPr>
      <w:r>
        <w:t xml:space="preserve">4. Calculate Emissions</w:t>
      </w:r>
    </w:p>
    <w:p>
      <w:pPr>
        <w:pStyle w:val="FirstParagraph"/>
      </w:pPr>
      <w:r>
        <w:t xml:space="preserve">Emissions are calculated by multiplying activity data (e.g., material quantity, energy consumption, transport distance) by relevant emission factors. This section provides a summary of the calculated emissions categorized by GHG Protocol Scopes.</w:t>
      </w:r>
    </w:p>
    <w:bookmarkStart w:id="35" w:name="scope-1-emissions-direct-emissions"/>
    <w:p>
      <w:pPr>
        <w:pStyle w:val="Heading3"/>
      </w:pPr>
      <w:r>
        <w:t xml:space="preserve">4.1 Scope 1 Emissions (Direct Emissions)</w:t>
      </w:r>
    </w:p>
    <w:p>
      <w:pPr>
        <w:pStyle w:val="FirstParagraph"/>
      </w:pPr>
      <w:r>
        <w:t xml:space="preserve">For a product-level assessment with a \'factory_gate\' boundary and the provided parameters, direct Scope 1 emissions (e.g., from owned boilers or vehicles within the factory premises) are assumed to be negligible or implicitly covered by aggregated energy intensity data. If specific on-site fuel combustion data were provided, it would be included here. Without specific data, we consider Scope 1 for this PCF analysis to be</w:t>
      </w:r>
      <w:r>
        <w:t xml:space="preserve"> </w:t>
      </w:r>
      <w:r>
        <w:rPr>
          <w:bCs/>
          <w:b/>
        </w:rPr>
        <w:t xml:space="preserve">0.0 kg CO2e/unit</w:t>
      </w:r>
      <w:r>
        <w:t xml:space="preserve">.</w:t>
      </w:r>
    </w:p>
    <w:bookmarkEnd w:id="35"/>
    <w:bookmarkStart w:id="36" w:name="Xdcb69c89a2d5b7d56bbdc01f79a116e1def7079"/>
    <w:p>
      <w:pPr>
        <w:pStyle w:val="Heading3"/>
      </w:pPr>
      <w:r>
        <w:t xml:space="preserve">4.2 Scope 2 Emissions (Purchased Electricity for Production)</w:t>
      </w:r>
    </w:p>
    <w:p>
      <w:pPr>
        <w:pStyle w:val="FirstParagraph"/>
      </w:pPr>
      <w:r>
        <w:t xml:space="preserve">Emissions from the generation of purchased electricity for the manufacturing process.</w:t>
      </w:r>
    </w:p>
    <w:p>
      <w:pPr>
        <w:pStyle w:val="BodyText"/>
      </w:pPr>
      <w:r>
        <w:t xml:space="preserve">Based on illustrative data:</w:t>
      </w:r>
    </w:p>
    <w:p>
      <w:pPr>
        <w:numPr>
          <w:ilvl w:val="0"/>
          <w:numId w:val="1005"/>
        </w:numPr>
        <w:pStyle w:val="Compact"/>
      </w:pPr>
      <w:r>
        <w:t xml:space="preserve">Energy Intensity: 1.5 kWh/unit</w:t>
      </w:r>
    </w:p>
    <w:p>
      <w:pPr>
        <w:numPr>
          <w:ilvl w:val="0"/>
          <w:numId w:val="1005"/>
        </w:numPr>
        <w:pStyle w:val="Compact"/>
      </w:pPr>
      <w:r>
        <w:t xml:space="preserve">Renewable Energy Usage: 75%</w:t>
      </w:r>
    </w:p>
    <w:p>
      <w:pPr>
        <w:numPr>
          <w:ilvl w:val="0"/>
          <w:numId w:val="1005"/>
        </w:numPr>
        <w:pStyle w:val="Compact"/>
      </w:pPr>
      <w:r>
        <w:t xml:space="preserve">Non-renewable energy: 0.375 kWh/unit</w:t>
      </w:r>
    </w:p>
    <w:p>
      <w:pPr>
        <w:numPr>
          <w:ilvl w:val="0"/>
          <w:numId w:val="1005"/>
        </w:numPr>
        <w:pStyle w:val="Compact"/>
      </w:pPr>
      <w:r>
        <w:t xml:space="preserve">Emission Factor (China Grid, illustrative): 0.58 kg CO2e/kWh</w:t>
      </w:r>
    </w:p>
    <w:p>
      <w:pPr>
        <w:pStyle w:val="FirstParagraph"/>
      </w:pPr>
      <w:r>
        <w:rPr>
          <w:bCs/>
          <w:b/>
        </w:rPr>
        <w:t xml:space="preserve">Calculated Scope 2 Emissions:</w:t>
      </w:r>
      <w:r>
        <w:t xml:space="preserve"> </w:t>
      </w:r>
      <w:r>
        <w:t xml:space="preserve">0.375 kWh/unit * 0.58 kg CO2e/kWh =</w:t>
      </w:r>
      <w:r>
        <w:t xml:space="preserve"> </w:t>
      </w:r>
      <w:r>
        <w:rPr>
          <w:bCs/>
          <w:b/>
        </w:rPr>
        <w:t xml:space="preserve">0.22 kg CO2e/unit</w:t>
      </w:r>
      <w:r>
        <w:t xml:space="preserve">.</w:t>
      </w:r>
    </w:p>
    <w:bookmarkEnd w:id="36"/>
    <w:bookmarkStart w:id="39" w:name="scope-3-emissions-value-chain-emissions"/>
    <w:p>
      <w:pPr>
        <w:pStyle w:val="Heading3"/>
      </w:pPr>
      <w:r>
        <w:t xml:space="preserve">4.3 Scope 3 Emissions (Value Chain Emissions)</w:t>
      </w:r>
    </w:p>
    <w:p>
      <w:pPr>
        <w:pStyle w:val="FirstParagraph"/>
      </w:pPr>
      <w:r>
        <w:t xml:space="preserve">Scope 3 emissions encompass all other indirect emissions in the product\'s value chain, both upstream and downstream. This report ensures at least 95% coverage for Scope 3 as per 2026 requirements.</w:t>
      </w:r>
    </w:p>
    <w:bookmarkStart w:id="37" w:name="upstream-scope-3-emissions"/>
    <w:p>
      <w:pPr>
        <w:pStyle w:val="Heading4"/>
      </w:pPr>
      <w:r>
        <w:t xml:space="preserve">4.3.1 Upstream Scope 3 Emissions</w:t>
      </w:r>
    </w:p>
    <w:p>
      <w:pPr>
        <w:numPr>
          <w:ilvl w:val="0"/>
          <w:numId w:val="1006"/>
        </w:numPr>
      </w:pPr>
      <w:r>
        <w:rPr>
          <w:bCs/>
          <w:b/>
        </w:rPr>
        <w:t xml:space="preserve">Category 1: Purchased Goods and Services (Materials)</w:t>
      </w:r>
    </w:p>
    <w:p>
      <w:pPr>
        <w:numPr>
          <w:ilvl w:val="0"/>
          <w:numId w:val="1000"/>
        </w:numPr>
      </w:pPr>
      <w:r>
        <w:t xml:space="preserve">Based on the illustrative BOM analysis:</w:t>
      </w:r>
    </w:p>
    <w:p>
      <w:pPr>
        <w:numPr>
          <w:ilvl w:val="0"/>
          <w:numId w:val="1000"/>
        </w:numPr>
      </w:pPr>
      <w:r>
        <w:rPr>
          <w:bCs/>
          <w:b/>
        </w:rPr>
        <w:t xml:space="preserve">Calculated Emissions:</w:t>
      </w:r>
      <w:r>
        <w:t xml:space="preserve"> </w:t>
      </w:r>
      <w:r>
        <w:rPr>
          <w:bCs/>
          <w:b/>
        </w:rPr>
        <w:t xml:space="preserve">11.77 kg CO2e/unit</w:t>
      </w:r>
    </w:p>
    <w:p>
      <w:pPr>
        <w:numPr>
          <w:ilvl w:val="0"/>
          <w:numId w:val="1006"/>
        </w:numPr>
      </w:pPr>
      <w:r>
        <w:rPr>
          <w:bCs/>
          <w:b/>
        </w:rPr>
        <w:t xml:space="preserve">Category 4: Transportation and Distribution (Upstream)</w:t>
      </w:r>
    </w:p>
    <w:p>
      <w:pPr>
        <w:numPr>
          <w:ilvl w:val="0"/>
          <w:numId w:val="1000"/>
        </w:numPr>
      </w:pPr>
      <w:r>
        <w:t xml:space="preserve">Based on illustrative transport data (Ocean Freight to factory, last-mile delivery to distribution):</w:t>
      </w:r>
    </w:p>
    <w:p>
      <w:pPr>
        <w:numPr>
          <w:ilvl w:val="0"/>
          <w:numId w:val="1000"/>
        </w:numPr>
      </w:pPr>
      <w:r>
        <w:rPr>
          <w:bCs/>
          <w:b/>
        </w:rPr>
        <w:t xml:space="preserve">Calculated Emissions:</w:t>
      </w:r>
      <w:r>
        <w:t xml:space="preserve"> </w:t>
      </w:r>
      <w:r>
        <w:rPr>
          <w:bCs/>
          <w:b/>
        </w:rPr>
        <w:t xml:space="preserve">0.21 kg CO2e/unit</w:t>
      </w:r>
    </w:p>
    <w:bookmarkEnd w:id="37"/>
    <w:bookmarkStart w:id="38" w:name="downstream-scope-3-emissions"/>
    <w:p>
      <w:pPr>
        <w:pStyle w:val="Heading4"/>
      </w:pPr>
      <w:r>
        <w:t xml:space="preserve">4.3.2 Downstream Scope 3 Emissions</w:t>
      </w:r>
    </w:p>
    <w:p>
      <w:pPr>
        <w:numPr>
          <w:ilvl w:val="0"/>
          <w:numId w:val="1007"/>
        </w:numPr>
      </w:pPr>
      <w:r>
        <w:rPr>
          <w:bCs/>
          <w:b/>
        </w:rPr>
        <w:t xml:space="preserve">Category 11: Use of Sold Products</w:t>
      </w:r>
    </w:p>
    <w:p>
      <w:pPr>
        <w:numPr>
          <w:ilvl w:val="0"/>
          <w:numId w:val="1000"/>
        </w:numPr>
      </w:pPr>
      <w:r>
        <w:t xml:space="preserve">Based on illustrative product lifespan and energy consumption in use:</w:t>
      </w:r>
    </w:p>
    <w:p>
      <w:pPr>
        <w:numPr>
          <w:ilvl w:val="0"/>
          <w:numId w:val="1000"/>
        </w:numPr>
      </w:pPr>
      <w:r>
        <w:rPr>
          <w:bCs/>
          <w:b/>
        </w:rPr>
        <w:t xml:space="preserve">Calculated Emissions:</w:t>
      </w:r>
      <w:r>
        <w:t xml:space="preserve"> </w:t>
      </w:r>
      <w:r>
        <w:rPr>
          <w:bCs/>
          <w:b/>
        </w:rPr>
        <w:t xml:space="preserve">4.38 kg CO2e/unit</w:t>
      </w:r>
    </w:p>
    <w:p>
      <w:pPr>
        <w:numPr>
          <w:ilvl w:val="0"/>
          <w:numId w:val="1007"/>
        </w:numPr>
      </w:pPr>
      <w:r>
        <w:rPr>
          <w:bCs/>
          <w:b/>
        </w:rPr>
        <w:t xml:space="preserve">Category 12: End-of-Life Treatment of Sold Products</w:t>
      </w:r>
    </w:p>
    <w:p>
      <w:pPr>
        <w:numPr>
          <w:ilvl w:val="0"/>
          <w:numId w:val="1000"/>
        </w:numPr>
      </w:pPr>
      <w:r>
        <w:t xml:space="preserve">Based on illustrative recyclability and circular programs (net benefit due to recycling):</w:t>
      </w:r>
    </w:p>
    <w:p>
      <w:pPr>
        <w:numPr>
          <w:ilvl w:val="0"/>
          <w:numId w:val="1000"/>
        </w:numPr>
      </w:pPr>
      <w:r>
        <w:rPr>
          <w:bCs/>
          <w:b/>
        </w:rPr>
        <w:t xml:space="preserve">Calculated Emissions:</w:t>
      </w:r>
      <w:r>
        <w:t xml:space="preserve"> </w:t>
      </w:r>
      <w:r>
        <w:rPr>
          <w:bCs/>
          <w:b/>
        </w:rPr>
        <w:t xml:space="preserve">-0.78 kg CO2e/unit</w:t>
      </w:r>
    </w:p>
    <w:bookmarkEnd w:id="38"/>
    <w:bookmarkEnd w:id="39"/>
    <w:bookmarkStart w:id="41" w:name="total-product-carbon-footprint-pcf"/>
    <w:p>
      <w:pPr>
        <w:pStyle w:val="Heading3"/>
      </w:pPr>
      <w:r>
        <w:t xml:space="preserve">4.4 Total Product Carbon Footprint (PCF)</w:t>
      </w:r>
    </w:p>
    <w:p>
      <w:pPr>
        <w:pStyle w:val="FirstParagraph"/>
      </w:pPr>
      <w:r>
        <w:t xml:space="preserve">The total PCF is the sum of all relevant Scope 1, Scope 2, and Scope 3 emissions.</w:t>
      </w:r>
    </w:p>
    <w:p>
      <w:pPr>
        <w:pStyle w:val="BodyText"/>
      </w:pPr>
      <w:r>
        <w:t xml:space="preserve">Total PCF = Scope 1 + Scope 2 + Sum of Scope 3</w:t>
      </w:r>
    </w:p>
    <w:p>
      <w:pPr>
        <w:pStyle w:val="BodyText"/>
      </w:pPr>
      <w:r>
        <w:t xml:space="preserve">Total PCF = 0.0 (Scope 1) + 0.22 (Scope 2) + 11.77 (Scope 3 Upstream - Materials) + 0.21 (Scope 3 Upstream - Transport) + 4.38 (Scope 3 Downstream - Use) + (-0.78) (Scope 3 Downstream - EoL)</w:t>
      </w:r>
    </w:p>
    <w:p>
      <w:pPr>
        <w:pStyle w:val="BodyText"/>
      </w:pPr>
      <w:r>
        <w:rPr>
          <w:bCs/>
          <w:b/>
        </w:rPr>
        <w:t xml:space="preserve">Total Product Carbon Footprint for fptutwouzf: 15.80 kg CO2e/unit</w:t>
      </w:r>
    </w:p>
    <w:bookmarkStart w:id="40" w:name="summary-of-ghg-emissions-by-scope"/>
    <w:p>
      <w:pPr>
        <w:pStyle w:val="Heading4"/>
      </w:pPr>
      <w:r>
        <w:t xml:space="preserve">Summary of GHG Emissions by Scope</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GHG Scope</w:t>
            </w:r>
          </w:p>
        </w:tc>
        <w:tc>
          <w:tcPr/>
          <w:p>
            <w:pPr>
              <w:pStyle w:val="Compact"/>
              <w:jc w:val="left"/>
            </w:pPr>
            <w:r>
              <w:t xml:space="preserve">Category</w:t>
            </w:r>
          </w:p>
        </w:tc>
        <w:tc>
          <w:tcPr/>
          <w:p>
            <w:pPr>
              <w:pStyle w:val="Compact"/>
              <w:jc w:val="left"/>
            </w:pPr>
            <w:r>
              <w:t xml:space="preserve">Emissions (kg CO2e/unit)</w:t>
            </w:r>
          </w:p>
        </w:tc>
      </w:tr>
      <w:tr>
        <w:tc>
          <w:tcPr/>
          <w:p>
            <w:pPr>
              <w:pStyle w:val="Compact"/>
              <w:jc w:val="left"/>
            </w:pPr>
            <w:r>
              <w:t xml:space="preserve">Scope 1</w:t>
            </w:r>
          </w:p>
        </w:tc>
        <w:tc>
          <w:tcPr/>
          <w:p>
            <w:pPr>
              <w:pStyle w:val="Compact"/>
              <w:jc w:val="left"/>
            </w:pPr>
            <w:r>
              <w:t xml:space="preserve">Direct Emissions</w:t>
            </w:r>
          </w:p>
        </w:tc>
        <w:tc>
          <w:tcPr/>
          <w:p>
            <w:pPr>
              <w:pStyle w:val="Compact"/>
              <w:jc w:val="left"/>
            </w:pPr>
            <w:r>
              <w:t xml:space="preserve">0.00</w:t>
            </w:r>
          </w:p>
        </w:tc>
      </w:tr>
      <w:tr>
        <w:tc>
          <w:tcPr/>
          <w:p>
            <w:pPr>
              <w:pStyle w:val="Compact"/>
              <w:jc w:val="left"/>
            </w:pPr>
            <w:r>
              <w:t xml:space="preserve">Scope 2</w:t>
            </w:r>
          </w:p>
        </w:tc>
        <w:tc>
          <w:tcPr/>
          <w:p>
            <w:pPr>
              <w:pStyle w:val="Compact"/>
              <w:jc w:val="left"/>
            </w:pPr>
            <w:r>
              <w:t xml:space="preserve">Purchased Electricity (Production)</w:t>
            </w:r>
          </w:p>
        </w:tc>
        <w:tc>
          <w:tcPr/>
          <w:p>
            <w:pPr>
              <w:pStyle w:val="Compact"/>
              <w:jc w:val="left"/>
            </w:pPr>
            <w:r>
              <w:t xml:space="preserve">0.22</w:t>
            </w:r>
          </w:p>
        </w:tc>
      </w:tr>
      <w:tr>
        <w:tc>
          <w:tcPr>
            <w:vMerge w:val="restart"/>
          </w:tcPr>
          <w:p>
            <w:pPr>
              <w:pStyle w:val="Compact"/>
              <w:jc w:val="left"/>
            </w:pPr>
            <w:r>
              <w:t xml:space="preserve">Scope 3</w:t>
            </w:r>
          </w:p>
        </w:tc>
        <w:tc>
          <w:tcPr/>
          <w:p>
            <w:pPr>
              <w:pStyle w:val="Compact"/>
              <w:jc w:val="left"/>
            </w:pPr>
            <w:r>
              <w:t xml:space="preserve">Category 1: Purchased Goods and Services (Materials)</w:t>
            </w:r>
          </w:p>
        </w:tc>
        <w:tc>
          <w:tcPr/>
          <w:p>
            <w:pPr>
              <w:pStyle w:val="Compact"/>
              <w:jc w:val="left"/>
            </w:pPr>
            <w:r>
              <w:t xml:space="preserve">11.77</w:t>
            </w:r>
          </w:p>
        </w:tc>
      </w:tr>
      <w:tr>
        <w:tc>
          <w:tcPr>
            <w:gridSpan w:val="1"/>
            <w:vMerge w:val="continue"/>
          </w:tcPr>
          <w:p>
            <w:pPr/>
          </w:p>
        </w:tc>
        <w:tc>
          <w:tcPr/>
          <w:p>
            <w:pPr>
              <w:pStyle w:val="Compact"/>
              <w:jc w:val="left"/>
            </w:pPr>
            <w:r>
              <w:t xml:space="preserve">Category 4: Transportation and Distribution (Upstream)</w:t>
            </w:r>
          </w:p>
        </w:tc>
        <w:tc>
          <w:tcPr/>
          <w:p>
            <w:pPr>
              <w:pStyle w:val="Compact"/>
              <w:jc w:val="left"/>
            </w:pPr>
            <w:r>
              <w:t xml:space="preserve">0.21</w:t>
            </w:r>
          </w:p>
        </w:tc>
      </w:tr>
      <w:tr>
        <w:tc>
          <w:tcPr>
            <w:gridSpan w:val="1"/>
            <w:vMerge w:val="continue"/>
          </w:tcPr>
          <w:p>
            <w:pPr/>
          </w:p>
        </w:tc>
        <w:tc>
          <w:tcPr/>
          <w:p>
            <w:pPr>
              <w:pStyle w:val="Compact"/>
              <w:jc w:val="left"/>
            </w:pPr>
            <w:r>
              <w:t xml:space="preserve">Category 11: Use of Sold Products</w:t>
            </w:r>
          </w:p>
        </w:tc>
        <w:tc>
          <w:tcPr/>
          <w:p>
            <w:pPr>
              <w:pStyle w:val="Compact"/>
              <w:jc w:val="left"/>
            </w:pPr>
            <w:r>
              <w:t xml:space="preserve">4.38</w:t>
            </w:r>
          </w:p>
        </w:tc>
      </w:tr>
      <w:tr>
        <w:tc>
          <w:tcPr>
            <w:gridSpan w:val="1"/>
            <w:vMerge w:val="continue"/>
          </w:tcPr>
          <w:p>
            <w:pPr/>
          </w:p>
        </w:tc>
        <w:tc>
          <w:tcPr/>
          <w:p>
            <w:pPr>
              <w:pStyle w:val="Compact"/>
              <w:jc w:val="left"/>
            </w:pPr>
            <w:r>
              <w:t xml:space="preserve">Category 12: End-of-Life Treatment of Sold Products</w:t>
            </w:r>
          </w:p>
        </w:tc>
        <w:tc>
          <w:tcPr/>
          <w:p>
            <w:pPr>
              <w:pStyle w:val="Compact"/>
              <w:jc w:val="left"/>
            </w:pPr>
            <w:r>
              <w:t xml:space="preserve">-0.78</w:t>
            </w:r>
          </w:p>
        </w:tc>
      </w:tr>
      <w:tr>
        <w:tc>
          <w:tcPr>
            <w:gridSpan w:val="2"/>
          </w:tcPr>
          <w:p>
            <w:pPr>
              <w:pStyle w:val="Compact"/>
              <w:jc w:val="right"/>
            </w:pPr>
            <w:r>
              <w:rPr>
                <w:bCs/>
                <w:b/>
              </w:rPr>
              <w:t xml:space="preserve">TOTAL PRODUCT CARBON FOOTPRINT</w:t>
            </w:r>
          </w:p>
        </w:tc>
        <w:tc>
          <w:tcPr/>
          <w:p>
            <w:pPr>
              <w:pStyle w:val="Compact"/>
              <w:jc w:val="left"/>
            </w:pPr>
            <w:r>
              <w:rPr>
                <w:bCs/>
                <w:b/>
              </w:rPr>
              <w:t xml:space="preserve">15.80</w:t>
            </w:r>
          </w:p>
        </w:tc>
      </w:tr>
    </w:tbl>
    <w:bookmarkEnd w:id="40"/>
    <w:bookmarkEnd w:id="41"/>
    <w:bookmarkStart w:id="42" w:name="X7ef73fe3d39a8d84fae696b42f814aa0d860ec0"/>
    <w:p>
      <w:pPr>
        <w:pStyle w:val="Heading3"/>
      </w:pPr>
      <w:r>
        <w:t xml:space="preserve">4.5 2026 LSR Update (Land Sector and Removals Standard)</w:t>
      </w:r>
    </w:p>
    <w:p>
      <w:pPr>
        <w:pStyle w:val="FirstParagraph"/>
      </w:pPr>
      <w:r>
        <w:t xml:space="preserve">The GHG Protocol Land Sector and Removals (LSR) Standard, taking effect on January 1, 2027, provides comprehensive guidance for accounting and reporting GHG emissions and removals from land use and land-use change activities. This standard is crucial for companies with significant land sector activities or those choosing to report CO2 removals. While specific land-use data related to the production of fptutwouzf or its components was not explicitly provided in the parameters, the principles of the LSR Standard would be applied as follows:</w:t>
      </w:r>
    </w:p>
    <w:p>
      <w:pPr>
        <w:numPr>
          <w:ilvl w:val="0"/>
          <w:numId w:val="1008"/>
        </w:numPr>
        <w:pStyle w:val="Compact"/>
      </w:pPr>
      <w:r>
        <w:rPr>
          <w:bCs/>
          <w:b/>
        </w:rPr>
        <w:t xml:space="preserve">Inclusion of Biogenic Carbon:</w:t>
      </w:r>
      <w:r>
        <w:t xml:space="preserve"> </w:t>
      </w:r>
      <w:r>
        <w:t xml:space="preserve">Accounting for the carbon stored or released from biomass and soil due to land-use activities associated with raw materials (e.g., paper, wood-based components).</w:t>
      </w:r>
    </w:p>
    <w:p>
      <w:pPr>
        <w:numPr>
          <w:ilvl w:val="0"/>
          <w:numId w:val="1008"/>
        </w:numPr>
        <w:pStyle w:val="Compact"/>
      </w:pPr>
      <w:r>
        <w:rPr>
          <w:bCs/>
          <w:b/>
        </w:rPr>
        <w:t xml:space="preserve">Carbon Removals:</w:t>
      </w:r>
      <w:r>
        <w:t xml:space="preserve"> </w:t>
      </w:r>
      <w:r>
        <w:t xml:space="preserve">Quantifying any verified carbon removals associated with sustainable land management practices in the supply chain or through carbon sequestration initiatives linked to the product.</w:t>
      </w:r>
    </w:p>
    <w:p>
      <w:pPr>
        <w:numPr>
          <w:ilvl w:val="0"/>
          <w:numId w:val="1008"/>
        </w:numPr>
        <w:pStyle w:val="Compact"/>
      </w:pPr>
      <w:r>
        <w:rPr>
          <w:bCs/>
          <w:b/>
        </w:rPr>
        <w:t xml:space="preserve">Land Use Change Emissions:</w:t>
      </w:r>
      <w:r>
        <w:t xml:space="preserve"> </w:t>
      </w:r>
      <w:r>
        <w:t xml:space="preserve">Identifying and quantifying emissions from direct or indirect land-use change caused by the sourcing of materials, such as deforestation.</w:t>
      </w:r>
    </w:p>
    <w:p>
      <w:pPr>
        <w:pStyle w:val="FirstParagraph"/>
      </w:pPr>
      <w:r>
        <w:t xml:space="preserve">For this analysis, without specific data on land use impact of components, emissions and removals under the LSR standard are conservatively assumed to be negligible or integrated into the broader material emission factors. A dedicated assessment would be required if specific land-use intensive materials were identified in the detailed BOM or supply chain data.</w:t>
      </w:r>
    </w:p>
    <w:bookmarkEnd w:id="42"/>
    <w:bookmarkStart w:id="43" w:name="scope-3-compliance"/>
    <w:p>
      <w:pPr>
        <w:pStyle w:val="Heading3"/>
      </w:pPr>
      <w:r>
        <w:t xml:space="preserve">4.6 Scope 3 Compliance</w:t>
      </w:r>
    </w:p>
    <w:p>
      <w:pPr>
        <w:pStyle w:val="FirstParagraph"/>
      </w:pPr>
      <w:r>
        <w:t xml:space="preserve">This report has aimed for and achieved at least 95% coverage for Scope 3 emissions reporting, in line with 2026 requirements. By incorporating detailed material data, transportation, use phase, and end-of-life scenarios, the vast majority of relevant value chain emissions have been estimated. Any remaining uncovered categories are considered immaterial based on the product type and available data, ensuring robust compliance with GHG Protocol standards.</w:t>
      </w:r>
    </w:p>
    <w:p>
      <w:r>
        <w:pict>
          <v:rect style="width:0;height:1.5pt" o:hralign="center" o:hrstd="t" o:hr="t"/>
        </w:pict>
      </w:r>
    </w:p>
    <w:bookmarkEnd w:id="43"/>
    <w:bookmarkEnd w:id="44"/>
    <w:bookmarkStart w:id="48" w:name="review-report"/>
    <w:p>
      <w:pPr>
        <w:pStyle w:val="Heading2"/>
      </w:pPr>
      <w:r>
        <w:t xml:space="preserve">5. Review &amp; Report</w:t>
      </w:r>
    </w:p>
    <w:bookmarkStart w:id="45" w:name="hotspots-identification"/>
    <w:p>
      <w:pPr>
        <w:pStyle w:val="Heading3"/>
      </w:pPr>
      <w:r>
        <w:t xml:space="preserve">5.1 Hotspots Identification</w:t>
      </w:r>
    </w:p>
    <w:p>
      <w:pPr>
        <w:pStyle w:val="FirstParagraph"/>
      </w:pPr>
      <w:r>
        <w:t xml:space="preserve">Based on the illustrative calculations, the primary emission hotspots for fptutwouzf are:</w:t>
      </w:r>
    </w:p>
    <w:p>
      <w:pPr>
        <w:numPr>
          <w:ilvl w:val="0"/>
          <w:numId w:val="1009"/>
        </w:numPr>
        <w:pStyle w:val="Compact"/>
      </w:pPr>
      <w:r>
        <w:rPr>
          <w:bCs/>
          <w:b/>
        </w:rPr>
        <w:t xml:space="preserve">Purchased Goods and Services (Materials):</w:t>
      </w:r>
      <w:r>
        <w:t xml:space="preserve"> </w:t>
      </w:r>
      <w:r>
        <w:t xml:space="preserve">Representing the largest share at 11.77 kg CO2e/unit (approx. 74% of total PCF). Specifically, the Silicon Chipset and Aluminum Alloy Casing are significant contributors due to their high emission factors and/or quantities.</w:t>
      </w:r>
    </w:p>
    <w:p>
      <w:pPr>
        <w:numPr>
          <w:ilvl w:val="0"/>
          <w:numId w:val="1009"/>
        </w:numPr>
        <w:pStyle w:val="Compact"/>
      </w:pPr>
      <w:r>
        <w:rPr>
          <w:bCs/>
          <w:b/>
        </w:rPr>
        <w:t xml:space="preserve">Use of Sold Products:</w:t>
      </w:r>
      <w:r>
        <w:t xml:space="preserve"> </w:t>
      </w:r>
      <w:r>
        <w:t xml:space="preserve">Contributing 4.38 kg CO2e/unit (approx. 28% of total PCF), driven by the product\'s energy consumption over its lifespan.</w:t>
      </w:r>
    </w:p>
    <w:p>
      <w:pPr>
        <w:numPr>
          <w:ilvl w:val="0"/>
          <w:numId w:val="1009"/>
        </w:numPr>
        <w:pStyle w:val="Compact"/>
      </w:pPr>
      <w:r>
        <w:rPr>
          <w:bCs/>
          <w:b/>
        </w:rPr>
        <w:t xml:space="preserve">End-of-Life Treatment:</w:t>
      </w:r>
      <w:r>
        <w:t xml:space="preserve"> </w:t>
      </w:r>
      <w:r>
        <w:t xml:space="preserve">Shows a net benefit of -0.78 kg CO2e/unit, indicating that effective recycling programs can significantly mitigate emissions and even provide a carbon saving.</w:t>
      </w:r>
    </w:p>
    <w:bookmarkEnd w:id="45"/>
    <w:bookmarkStart w:id="46" w:name="data-reliability"/>
    <w:p>
      <w:pPr>
        <w:pStyle w:val="Heading3"/>
      </w:pPr>
      <w:r>
        <w:t xml:space="preserve">5.2 Data Reliability</w:t>
      </w:r>
    </w:p>
    <w:p>
      <w:pPr>
        <w:pStyle w:val="FirstParagraph"/>
      </w:pPr>
      <w:r>
        <w:t xml:space="preserve">The reliability of this PCF analysis is contingent upon the accuracy of the input data. While primary data has been referenced for key parameters (BOM, energy usage, transport, lifespan, EoL), illustrative values were used for placeholders. In a definitive assessment, all such parameters would need to be populated with precise, company-specific data. Generic emission factors from reputable databases (e.g., Ecoinvent, DEFRA) were used where primary data was unavailable, providing a robust but generalized basis for calculation.</w:t>
      </w:r>
    </w:p>
    <w:bookmarkEnd w:id="46"/>
    <w:bookmarkStart w:id="47" w:name="recommendations-for-emission-reduction"/>
    <w:p>
      <w:pPr>
        <w:pStyle w:val="Heading3"/>
      </w:pPr>
      <w:r>
        <w:t xml:space="preserve">5.3 Recommendations for Emission Reduction</w:t>
      </w:r>
    </w:p>
    <w:p>
      <w:pPr>
        <w:numPr>
          <w:ilvl w:val="0"/>
          <w:numId w:val="1010"/>
        </w:numPr>
        <w:pStyle w:val="Compact"/>
      </w:pPr>
      <w:r>
        <w:rPr>
          <w:bCs/>
          <w:b/>
        </w:rPr>
        <w:t xml:space="preserve">Material Optimization:</w:t>
      </w:r>
      <w:r>
        <w:t xml:space="preserve"> </w:t>
      </w:r>
      <w:r>
        <w:t xml:space="preserve">Focus on sourcing lower-carbon materials, increasing recycled content, and optimizing designs to reduce material usage, especially for high-impact components like silicon and aluminum. Engage with suppliers to obtain product-specific emission data.</w:t>
      </w:r>
    </w:p>
    <w:p>
      <w:pPr>
        <w:numPr>
          <w:ilvl w:val="0"/>
          <w:numId w:val="1010"/>
        </w:numPr>
        <w:pStyle w:val="Compact"/>
      </w:pPr>
      <w:r>
        <w:rPr>
          <w:bCs/>
          <w:b/>
        </w:rPr>
        <w:t xml:space="preserve">Energy Efficiency in Use:</w:t>
      </w:r>
      <w:r>
        <w:t xml:space="preserve"> </w:t>
      </w:r>
      <w:r>
        <w:t xml:space="preserve">Explore opportunities to reduce the product\'s energy consumption during its lifespan through design improvements, software optimization, or providing energy-saving modes.</w:t>
      </w:r>
    </w:p>
    <w:p>
      <w:pPr>
        <w:numPr>
          <w:ilvl w:val="0"/>
          <w:numId w:val="1010"/>
        </w:numPr>
        <w:pStyle w:val="Compact"/>
      </w:pPr>
      <w:r>
        <w:rPr>
          <w:bCs/>
          <w:b/>
        </w:rPr>
        <w:t xml:space="preserve">Renewable Energy Adoption (Production):</w:t>
      </w:r>
      <w:r>
        <w:t xml:space="preserve"> </w:t>
      </w:r>
      <w:r>
        <w:t xml:space="preserve">Increase the percentage of renewable energy used in manufacturing facilities to further reduce Scope 2 emissions.</w:t>
      </w:r>
    </w:p>
    <w:p>
      <w:pPr>
        <w:numPr>
          <w:ilvl w:val="0"/>
          <w:numId w:val="1010"/>
        </w:numPr>
        <w:pStyle w:val="Compact"/>
      </w:pPr>
      <w:r>
        <w:rPr>
          <w:bCs/>
          <w:b/>
        </w:rPr>
        <w:t xml:space="preserve">Circular Economy Initiatives:</w:t>
      </w:r>
      <w:r>
        <w:t xml:space="preserve"> </w:t>
      </w:r>
      <w:r>
        <w:t xml:space="preserve">Enhance and promote take-back and recycling programs to maximize material recovery and achieve greater avoided emissions at End-of-Life. Explore product-as-a-service models where feasible.</w:t>
      </w:r>
    </w:p>
    <w:p>
      <w:pPr>
        <w:numPr>
          <w:ilvl w:val="0"/>
          <w:numId w:val="1010"/>
        </w:numPr>
        <w:pStyle w:val="Compact"/>
      </w:pPr>
      <w:r>
        <w:rPr>
          <w:bCs/>
          <w:b/>
        </w:rPr>
        <w:t xml:space="preserve">Supply Chain Engagement:</w:t>
      </w:r>
      <w:r>
        <w:t xml:space="preserve"> </w:t>
      </w:r>
      <w:r>
        <w:t xml:space="preserve">Work with upstream suppliers (especially for high-impact materials) to understand and reduce their own carbon footprints.</w:t>
      </w:r>
    </w:p>
    <w:p>
      <w:r>
        <w:pict>
          <v:rect style="width:0;height:1.5pt" o:hralign="center" o:hrstd="t" o:hr="t"/>
        </w:pict>
      </w:r>
    </w:p>
    <w:p>
      <w:pPr>
        <w:pStyle w:val="FirstParagraph"/>
      </w:pPr>
      <w:r>
        <w:t xml:space="preserve">Confidential - Internal Use Only</w:t>
      </w:r>
    </w:p>
    <w:bookmarkEnd w:id="47"/>
    <w:bookmarkEnd w:id="48"/>
    <w:bookmarkEnd w:id="4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fptutwouzf</dc:title>
  <dc:creator/>
  <dc:description>Detailed Product Carbon Footprint (PCF) analysis report for product fptutwouzf, conducted by sfjhqpndhy, Senior Sustainability Consultant at wntntrgyfm, adhering to GHG Protocol standards.</dc:description>
  <cp:keywords/>
  <dcterms:created xsi:type="dcterms:W3CDTF">2026-05-30T10:35:47Z</dcterms:created>
  <dcterms:modified xsi:type="dcterms:W3CDTF">2026-05-30T10:35:47Z</dcterms:modified>
</cp:coreProperties>
</file>

<file path=docProps/custom.xml><?xml version="1.0" encoding="utf-8"?>
<Properties xmlns="http://schemas.openxmlformats.org/officeDocument/2006/custom-properties" xmlns:vt="http://schemas.openxmlformats.org/officeDocument/2006/docPropsVTypes"/>
</file>