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fplmzxiryd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rPr>
          <w:bCs/>
          <w:b/>
        </w:rPr>
        <w:t xml:space="preserve">fplmzxiryd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mxvwditrhl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mjeeigtqig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standards, incorporating specific parameters provided.</w:t>
      </w:r>
      <w:r>
        <w:t xml:space="preserve"> </w:t>
      </w:r>
      <w:r>
        <w:t xml:space="preserve">Illustrative data has been used where specific numerical inputs for generic string parameters were not provided, to demonstrate methodology.</w:t>
      </w:r>
    </w:p>
    <w:bookmarkEnd w:id="20"/>
    <w:bookmarkStart w:id="21" w:name="Xa6574d6289c28657dd433577ce9fe192f881ad9"/>
    <w:p>
      <w:pPr>
        <w:pStyle w:val="Heading1"/>
      </w:pPr>
      <w:r>
        <w:t xml:space="preserve">Product Carbon Footprint Analysis Report for fplmzxiryd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June 3, 2026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mxvwditrhl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mjeeigtqig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provides a high-detail Product Carbon Footprint (PCF) analysis for the product fplmzxiryd,</w:t>
      </w:r>
      <w:r>
        <w:t xml:space="preserve"> </w:t>
      </w:r>
      <w:r>
        <w:t xml:space="preserve">manufactured by mxvwditrhl. The assessment follows the Greenhouse Gas (GHG) Protocol standards,</w:t>
      </w:r>
      <w:r>
        <w:t xml:space="preserve"> </w:t>
      </w:r>
      <w:r>
        <w:t xml:space="preserve">incorporating the 2026 Land Sector and Removals (LSR) update and targeting at least 95% Scope 3 coverage.</w:t>
      </w:r>
      <w:r>
        <w:t xml:space="preserve"> </w:t>
      </w:r>
      <w:r>
        <w:t xml:space="preserve">The analysis identifies key emission hotspots across the product\'s lifecycle, from material extraction</w:t>
      </w:r>
      <w:r>
        <w:t xml:space="preserve"> </w:t>
      </w:r>
      <w:r>
        <w:t xml:space="preserve">and production to transportation, use, and end-of-life phases, providing a comprehensive understanding</w:t>
      </w:r>
      <w:r>
        <w:t xml:space="preserve"> </w:t>
      </w:r>
      <w:r>
        <w:t xml:space="preserve">of its environmental impact. This enables mxvwditrhl to identify opportunities for emission reductions</w:t>
      </w:r>
      <w:r>
        <w:t xml:space="preserve"> </w:t>
      </w:r>
      <w:r>
        <w:t xml:space="preserve">and enhance its sustainability performance.</w:t>
      </w:r>
    </w:p>
    <w:p>
      <w:r>
        <w:pict>
          <v:rect style="width:0;height:1.5pt" o:hralign="center" o:hrstd="t" o:hr="t"/>
        </w:pict>
      </w:r>
    </w:p>
    <w:bookmarkEnd w:id="22"/>
    <w:bookmarkStart w:id="23" w:name="scope-definition"/>
    <w:p>
      <w:pPr>
        <w:pStyle w:val="Heading2"/>
      </w:pPr>
      <w:r>
        <w:t xml:space="preserve">1. Scope Definition</w:t>
      </w:r>
    </w:p>
    <w:p>
      <w:pPr>
        <w:pStyle w:val="FirstParagraph"/>
      </w:pPr>
      <w:r>
        <w:t xml:space="preserve">This PCF analysis establishes clear boundaries and parameters in accordance with the GHG Protocol.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fplmzxiryd. This defines the quantified performance of the product system for which the environmental impact is assessed.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factory_gate. This "cradle-to-gate" assessment encompasses all processes from raw material extraction, through manufacturing, up to the point the product leaves the factory gate. For a comprehensive PCF, this report expands beyond \'factory_gate\' to include transport to customer, use phase, and end-of-life, effectively becoming a \'cradle-to-grave\' analysis based on the provided parameters.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China. This influences grid electricity emission factors and local regulations.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Focused. This impacts upstream transportation distances and modes.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Protocol. This analysis strictly adheres to the methodologies and categorization prescribed by the GHG Protocol. Emissions are categorized into Scope 1 (direct emissions), Scope 2 (indirect emissions from purchased energy), and Scope 3 (all other indirect emissions from the value chain).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For this single product PCF, direct attribution of all relevant inputs and outputs to the functional unit is applied. Should co-products arise in a more complex scenario, mass or economic allocation would be considered.</w:t>
      </w:r>
    </w:p>
    <w:p>
      <w:r>
        <w:pict>
          <v:rect style="width:0;height:1.5pt" o:hralign="center" o:hrstd="t" o:hr="t"/>
        </w:pict>
      </w:r>
    </w:p>
    <w:bookmarkEnd w:id="23"/>
    <w:bookmarkStart w:id="29" w:name="Xd9a70c659bfcd295e1cdb6c2eb7ab1139a4e8cf"/>
    <w:p>
      <w:pPr>
        <w:pStyle w:val="Heading2"/>
      </w:pPr>
      <w:r>
        <w:t xml:space="preserve">2. Lifecycle Mapping and Data Collection (LCI Inventory Stages)</w:t>
      </w:r>
    </w:p>
    <w:p>
      <w:pPr>
        <w:pStyle w:val="FirstParagraph"/>
      </w:pPr>
      <w:r>
        <w:t xml:space="preserve">This section details the lifecycle stages of fplmzxiryd and the primary and secondary data points collected</w:t>
      </w:r>
      <w:r>
        <w:t xml:space="preserve"> </w:t>
      </w:r>
      <w:r>
        <w:t xml:space="preserve">for the inventory analysis. Illustrative values are used for generic input parameters to demonstrate the methodology.</w:t>
      </w:r>
    </w:p>
    <w:bookmarkStart w:id="24" w:name="X7a8f1b24a42f36d0daa957aa005d5bd96a0be8c"/>
    <w:p>
      <w:pPr>
        <w:pStyle w:val="Heading3"/>
      </w:pPr>
      <w:r>
        <w:t xml:space="preserve">2.1. Detailed Bill of Materials (BOM) - Upstream Emissions (Scope 3)</w:t>
      </w:r>
    </w:p>
    <w:p>
      <w:pPr>
        <w:pStyle w:val="FirstParagraph"/>
      </w:pPr>
      <w:r>
        <w:t xml:space="preserve">The Detailed Bill of Materials (BOM) for fplmzxiryd, represented by \'rhkxgsjk\', provides specific data for material impact calculations.</w:t>
      </w:r>
      <w:r>
        <w:t xml:space="preserve"> </w:t>
      </w:r>
      <w:r>
        <w:t xml:space="preserve">For illustrative purposes, we interpret \'rhkxgsjk\' as structured data detailing each component: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 &amp;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Carbon Impact:</w:t>
      </w:r>
      <w:r>
        <w:t xml:space="preserve"> </w:t>
      </w:r>
      <w:r>
        <w:t xml:space="preserve">4.935 kg CO2e (Illustrative Sum)</w:t>
      </w:r>
    </w:p>
    <w:bookmarkEnd w:id="24"/>
    <w:bookmarkStart w:id="25" w:name="X0f6968fb94ac41385ea84daeafe9c64b37eb1aa"/>
    <w:p>
      <w:pPr>
        <w:pStyle w:val="Heading3"/>
      </w:pPr>
      <w:r>
        <w:t xml:space="preserve">2.2. Production Energy Inputs - Manufacturing Phase (Scope 1 &amp; 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 (iwmrjyxunh):</w:t>
      </w:r>
      <w:r>
        <w:t xml:space="preserve"> </w:t>
      </w:r>
      <w:r>
        <w:t xml:space="preserve">50%. This signifies that 50% of the energy consumed in the production facility is sourced from renewable origins, reducing Scope 2 emissions.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(kWh/unit, ktgdrmmkiw):</w:t>
      </w:r>
      <w:r>
        <w:t xml:space="preserve"> </w:t>
      </w:r>
      <w:r>
        <w:t xml:space="preserve">10 kWh/unit. This represents the total energy consumed to manufacture one unit of fplmzxiryd.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Direct emissions from owned or controlled sources (e.g., natural gas combustion on-site). For this analysis, we assume minimal direct combustion, focusing on purchased electricity for manufacturing, but would account for it if present.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Indirect emissions from the generation of purchased electricity, heat, or steam. With a 50% renewable energy usage, the remaining 50% will be attributed to the grid mix of China.</w:t>
      </w:r>
    </w:p>
    <w:bookmarkEnd w:id="25"/>
    <w:bookmarkStart w:id="26" w:name="Xf32d26505be550dcb145b0ec70fc66fdd9bd25f"/>
    <w:p>
      <w:pPr>
        <w:pStyle w:val="Heading3"/>
      </w:pPr>
      <w:r>
        <w:t xml:space="preserve">2.3. Transport Logistics Data - Upstream &amp; Downstream (Scope 3)</w:t>
      </w:r>
    </w:p>
    <w:p>
      <w:pPr>
        <w:pStyle w:val="FirstParagraph"/>
      </w:pPr>
      <w:r>
        <w:t xml:space="preserve">Transportation plays a critical role in the product\'s overall footprint, both for bringing raw materials to the factory and distributing the finished product.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Mode (Select Mode):</w:t>
      </w:r>
      <w:r>
        <w:t xml:space="preserve"> </w:t>
      </w:r>
      <w:r>
        <w:t xml:space="preserve">Ocean Freight (Container Ship). Assumed for bulk material transport from Europe-focused supply chain to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 (ykgdkjlvfm):</w:t>
      </w:r>
      <w:r>
        <w:t xml:space="preserve"> </w:t>
      </w:r>
      <w:r>
        <w:t xml:space="preserve">10,000 km (Ocean Freight) + 500 km (Road Freight from port to factory/distribution center) + 1,000 km (Road Freight from China factory to customer in Europe). These are illustrative distances.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 (Delivery Type):</w:t>
      </w:r>
      <w:r>
        <w:t xml:space="preserve"> </w:t>
      </w:r>
      <w:r>
        <w:t xml:space="preserve">Road Freight (Van). Assumed for final delivery to the end customer in Europe.</w:t>
      </w:r>
    </w:p>
    <w:bookmarkEnd w:id="26"/>
    <w:bookmarkStart w:id="27" w:name="Xeb29f38895b547fc3b86e4935d6f95f36946058"/>
    <w:p>
      <w:pPr>
        <w:pStyle w:val="Heading3"/>
      </w:pPr>
      <w:r>
        <w:t xml:space="preserve">2.4. Product Use Phase Data - Downstream Emissions (Scope 3)</w:t>
      </w:r>
    </w:p>
    <w:p>
      <w:pPr>
        <w:pStyle w:val="FirstParagraph"/>
      </w:pPr>
      <w:r>
        <w:t xml:space="preserve">The energy consumed during the product\'s lifespan contributes significantly to its carbon footprint.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 (nwhedlzyfx):</w:t>
      </w:r>
      <w:r>
        <w:t xml:space="preserve"> </w:t>
      </w:r>
      <w:r>
        <w:t xml:space="preserve">5 years. This duration is used to calculate total energy consumption over the product\'s life.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 (vldpgkegmn):</w:t>
      </w:r>
      <w:r>
        <w:t xml:space="preserve"> </w:t>
      </w:r>
      <w:r>
        <w:t xml:space="preserve">20 kWh/year. This is the annual energy draw of fplmzxiryd during its active use.</w:t>
      </w:r>
    </w:p>
    <w:bookmarkEnd w:id="27"/>
    <w:bookmarkStart w:id="28" w:name="X95c2126cff7fad7a1969b006b6e91903a9f4c37"/>
    <w:p>
      <w:pPr>
        <w:pStyle w:val="Heading3"/>
      </w:pPr>
      <w:r>
        <w:t xml:space="preserve">2.5. End-of-Life (EoL) Scenarios - Downstream Emissions (Scope 3)</w:t>
      </w:r>
    </w:p>
    <w:p>
      <w:pPr>
        <w:pStyle w:val="FirstParagraph"/>
      </w:pPr>
      <w:r>
        <w:t xml:space="preserve">Circular economy principles are integrated to assess the impact of end-of-life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 (ukpklnpgjg):</w:t>
      </w:r>
      <w:r>
        <w:t xml:space="preserve"> </w:t>
      </w:r>
      <w:r>
        <w:t xml:space="preserve">70%. This indicates the portion of the product\'s materials that can be effectively recycled, leading to avoided emissions.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 (ymqjeglwkx):</w:t>
      </w:r>
      <w:r>
        <w:t xml:space="preserve"> </w:t>
      </w:r>
      <w:r>
        <w:t xml:space="preserve">Yes, through regional collection points. The presence of such programs supports higher actual recycling rates and efficient material recovery.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8" w:name="emission-calculation"/>
    <w:p>
      <w:pPr>
        <w:pStyle w:val="Heading2"/>
      </w:pPr>
      <w:r>
        <w:t xml:space="preserve">3. Emission Calculation</w:t>
      </w:r>
    </w:p>
    <w:p>
      <w:pPr>
        <w:pStyle w:val="FirstParagraph"/>
      </w:pPr>
      <w:r>
        <w:t xml:space="preserve">Emissions are calculated by multiplying activity data by relevant emission factors.</w:t>
      </w:r>
      <w:r>
        <w:t xml:space="preserve"> </w:t>
      </w:r>
      <w:r>
        <w:t xml:space="preserve">The GHG Protocol categorization ensures a clear understanding of emission sources.</w:t>
      </w:r>
      <w:r>
        <w:t xml:space="preserve"> </w:t>
      </w:r>
      <w:r>
        <w:t xml:space="preserve">Illustrative emission factors and calculations are presented based on typical industry values, as specific</w:t>
      </w:r>
      <w:r>
        <w:t xml:space="preserve"> </w:t>
      </w:r>
      <w:r>
        <w:t xml:space="preserve">emission factor databases (Ecoinvent/DEFRA) require external access.</w:t>
      </w:r>
    </w:p>
    <w:bookmarkStart w:id="30" w:name="illustrative-emission-factors-used"/>
    <w:p>
      <w:pPr>
        <w:pStyle w:val="Heading3"/>
      </w:pPr>
      <w:r>
        <w:t xml:space="preserve">3.1. Illustrative Emission Factors Used:</w:t>
      </w:r>
    </w:p>
    <w:p>
      <w:pPr>
        <w:numPr>
          <w:ilvl w:val="0"/>
          <w:numId w:val="1007"/>
        </w:numPr>
        <w:pStyle w:val="Compact"/>
      </w:pPr>
      <w:r>
        <w:t xml:space="preserve">China Grid Electricity Emission Factor: ~0.6 kg CO2e/kWh (Illustrative, actual values vary significantly)</w:t>
      </w:r>
    </w:p>
    <w:p>
      <w:pPr>
        <w:numPr>
          <w:ilvl w:val="0"/>
          <w:numId w:val="1007"/>
        </w:numPr>
        <w:pStyle w:val="Compact"/>
      </w:pPr>
      <w:r>
        <w:t xml:space="preserve">Renewable Electricity Emission Factor: 0.0 kg CO2e/kWh (Assumed for certified renewable sources)</w:t>
      </w:r>
    </w:p>
    <w:p>
      <w:pPr>
        <w:numPr>
          <w:ilvl w:val="0"/>
          <w:numId w:val="1007"/>
        </w:numPr>
        <w:pStyle w:val="Compact"/>
      </w:pPr>
      <w:r>
        <w:t xml:space="preserve">Ocean Freight (Container Ship): ~0.01 kg CO2e/tkm (Illustrative)</w:t>
      </w:r>
    </w:p>
    <w:p>
      <w:pPr>
        <w:numPr>
          <w:ilvl w:val="0"/>
          <w:numId w:val="1007"/>
        </w:numPr>
        <w:pStyle w:val="Compact"/>
      </w:pPr>
      <w:r>
        <w:t xml:space="preserve">Road Freight (Heavy Goods Vehicle): ~0.09 kg CO2e/tkm (Illustrative)</w:t>
      </w:r>
    </w:p>
    <w:p>
      <w:pPr>
        <w:numPr>
          <w:ilvl w:val="0"/>
          <w:numId w:val="1007"/>
        </w:numPr>
        <w:pStyle w:val="Compact"/>
      </w:pPr>
      <w:r>
        <w:t xml:space="preserve">Road Freight (Light Commercial Van - Last Mile): ~0.2 kg CO2e/tkm (Illustrative, higher for smaller loads/less efficient vehicles)</w:t>
      </w:r>
    </w:p>
    <w:p>
      <w:pPr>
        <w:numPr>
          <w:ilvl w:val="0"/>
          <w:numId w:val="1007"/>
        </w:numPr>
        <w:pStyle w:val="Compact"/>
      </w:pPr>
      <w:r>
        <w:t xml:space="preserve">Disposal to Landfill (mixed waste): ~0.5 kg CO2e/kg (Illustrative)</w:t>
      </w:r>
    </w:p>
    <w:p>
      <w:pPr>
        <w:numPr>
          <w:ilvl w:val="0"/>
          <w:numId w:val="1007"/>
        </w:numPr>
        <w:pStyle w:val="Compact"/>
      </w:pPr>
      <w:r>
        <w:t xml:space="preserve">Recycling Credit (mixed materials): ~-1.5 kg CO2e/kg (Illustrative avoided emissions)</w:t>
      </w:r>
    </w:p>
    <w:p>
      <w:pPr>
        <w:pStyle w:val="FirstParagraph"/>
      </w:pPr>
      <w:r>
        <w:rPr>
          <w:iCs/>
          <w:i/>
        </w:rPr>
        <w:t xml:space="preserve">Note: Actual emission factors can vary significantly based on source, year, and specific technology.</w:t>
      </w:r>
    </w:p>
    <w:bookmarkEnd w:id="30"/>
    <w:bookmarkStart w:id="35" w:name="categorization-and-calculation"/>
    <w:p>
      <w:pPr>
        <w:pStyle w:val="Heading3"/>
      </w:pPr>
      <w:r>
        <w:t xml:space="preserve">3.2. Categorization and Calculation:</w:t>
      </w:r>
    </w:p>
    <w:bookmarkStart w:id="31" w:name="scope-1-emissions-direct-emissions"/>
    <w:p>
      <w:pPr>
        <w:pStyle w:val="Heading4"/>
      </w:pPr>
      <w:r>
        <w:t xml:space="preserve">Scope 1 Emissions (Direct Emissions):</w:t>
      </w:r>
    </w:p>
    <w:p>
      <w:pPr>
        <w:pStyle w:val="FirstParagraph"/>
      </w:pPr>
      <w:r>
        <w:t xml:space="preserve">For this analysis, direct combustion emissions from mxvwditrhl\'s own facilities are assumed to be negligible</w:t>
      </w:r>
      <w:r>
        <w:t xml:space="preserve"> </w:t>
      </w:r>
      <w:r>
        <w:t xml:space="preserve">or integrated into the overall energy intensity if derived from co-generation. If there were on-site fuel</w:t>
      </w:r>
      <w:r>
        <w:t xml:space="preserve"> </w:t>
      </w:r>
      <w:r>
        <w:t xml:space="preserve">combustion (e.g., boilers, company vehicles), those emissions would be calculated here.</w:t>
      </w:r>
    </w:p>
    <w:p>
      <w:pPr>
        <w:pStyle w:val="BodyText"/>
      </w:pPr>
      <w:r>
        <w:rPr>
          <w:bCs/>
          <w:b/>
        </w:rPr>
        <w:t xml:space="preserve">Illustrative Scope 1 Total: 0.0 kg CO2e</w:t>
      </w:r>
    </w:p>
    <w:bookmarkEnd w:id="31"/>
    <w:bookmarkStart w:id="32" w:name="scope-2-emissions-purchased-energy"/>
    <w:p>
      <w:pPr>
        <w:pStyle w:val="Heading4"/>
      </w:pPr>
      <w:r>
        <w:t xml:space="preserve">Scope 2 Emissions (Purchased Energy):</w:t>
      </w:r>
    </w:p>
    <w:p>
      <w:pPr>
        <w:pStyle w:val="FirstParagraph"/>
      </w:pPr>
      <w:r>
        <w:t xml:space="preserve">These emissions arise from the generation of purchased electricity for the manufacturing process.</w:t>
      </w:r>
    </w:p>
    <w:p>
      <w:pPr>
        <w:numPr>
          <w:ilvl w:val="0"/>
          <w:numId w:val="1008"/>
        </w:numPr>
        <w:pStyle w:val="Compact"/>
      </w:pPr>
      <w:r>
        <w:t xml:space="preserve">Total Energy Intensity: 10 kWh/unit</w:t>
      </w:r>
    </w:p>
    <w:p>
      <w:pPr>
        <w:numPr>
          <w:ilvl w:val="0"/>
          <w:numId w:val="1008"/>
        </w:numPr>
        <w:pStyle w:val="Compact"/>
      </w:pPr>
      <w:r>
        <w:t xml:space="preserve">Renewable Energy Usage: 50%</w:t>
      </w:r>
    </w:p>
    <w:p>
      <w:pPr>
        <w:numPr>
          <w:ilvl w:val="0"/>
          <w:numId w:val="1008"/>
        </w:numPr>
        <w:pStyle w:val="Compact"/>
      </w:pPr>
      <w:r>
        <w:t xml:space="preserve">Non-Renewable Energy Usage: 10 kWh/unit * (1 - 0.50) = 5 kWh/unit</w:t>
      </w:r>
    </w:p>
    <w:p>
      <w:pPr>
        <w:numPr>
          <w:ilvl w:val="0"/>
          <w:numId w:val="1008"/>
        </w:numPr>
        <w:pStyle w:val="Compact"/>
      </w:pPr>
      <w:r>
        <w:t xml:space="preserve">Emissions from Non-Renewable Energy: 5 kWh/unit * 0.6 kg CO2e/kWh (China Grid EF) = 3.0 kg CO2e/unit</w:t>
      </w:r>
    </w:p>
    <w:p>
      <w:pPr>
        <w:pStyle w:val="FirstParagraph"/>
      </w:pPr>
      <w:r>
        <w:rPr>
          <w:bCs/>
          <w:b/>
        </w:rPr>
        <w:t xml:space="preserve">Illustrative Scope 2 Total: 3.0 kg CO2e</w:t>
      </w:r>
    </w:p>
    <w:bookmarkEnd w:id="32"/>
    <w:bookmarkStart w:id="33" w:name="scope-3-emissions-value-chain-emissions"/>
    <w:p>
      <w:pPr>
        <w:pStyle w:val="Heading4"/>
      </w:pPr>
      <w:r>
        <w:t xml:space="preserve">Scope 3 Emissions (Value Chain Emissions):</w:t>
      </w:r>
    </w:p>
    <w:p>
      <w:pPr>
        <w:pStyle w:val="FirstParagraph"/>
      </w:pPr>
      <w:r>
        <w:t xml:space="preserve">Scope 3 emissions are typically the largest portion of a product\'s footprint and are critical for</w:t>
      </w:r>
      <w:r>
        <w:t xml:space="preserve"> </w:t>
      </w:r>
      <w:r>
        <w:t xml:space="preserve">achieving at least 95% coverage as per 2026 requirements.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Upstream (Category 1: Purchased Goods &amp; Services - Materials):</w:t>
      </w:r>
    </w:p>
    <w:p>
      <w:pPr>
        <w:numPr>
          <w:ilvl w:val="1"/>
          <w:numId w:val="1010"/>
        </w:numPr>
        <w:pStyle w:val="Compact"/>
      </w:pPr>
      <w:r>
        <w:t xml:space="preserve">Total Material Carbon Impact (from BOM): 4.935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Upstream (Category 4: Transportation &amp; Distribution):</w:t>
      </w:r>
    </w:p>
    <w:p>
      <w:pPr>
        <w:numPr>
          <w:ilvl w:val="1"/>
          <w:numId w:val="1011"/>
        </w:numPr>
        <w:pStyle w:val="Compact"/>
      </w:pPr>
      <w:r>
        <w:t xml:space="preserve">Assume average product weight for transport: 1 kg (product + packaging).</w:t>
      </w:r>
    </w:p>
    <w:p>
      <w:pPr>
        <w:numPr>
          <w:ilvl w:val="1"/>
          <w:numId w:val="1011"/>
        </w:numPr>
        <w:pStyle w:val="Compact"/>
      </w:pPr>
      <w:r>
        <w:t xml:space="preserve">Ocean Freight: 10,000 km * 1 kg * 0.01 kg CO2e/tkm = 100 kg CO2e (This is too high. A product typically weighs less than a ton. Let\'s assume the emission factor is per *kg* km). Let\'s re-illustrate. Assume 0.01 kg CO2e per tonne-km is 0.00001 kg CO2e per kg-km.</w:t>
      </w:r>
    </w:p>
    <w:p>
      <w:pPr>
        <w:numPr>
          <w:ilvl w:val="1"/>
          <w:numId w:val="1011"/>
        </w:numPr>
        <w:pStyle w:val="Compact"/>
      </w:pPr>
      <w:r>
        <w:t xml:space="preserve">Ocean Freight (materials inbound): 10,000 km * 1 kg (product weight) * 0.00001 kg CO2e/kg-km = 0.1 kg CO2e</w:t>
      </w:r>
    </w:p>
    <w:p>
      <w:pPr>
        <w:numPr>
          <w:ilvl w:val="1"/>
          <w:numId w:val="1011"/>
        </w:numPr>
        <w:pStyle w:val="Compact"/>
      </w:pPr>
      <w:r>
        <w:t xml:space="preserve">Road Freight (port to factory): 500 km * 1 kg * 0.00009 kg CO2e/kg-km = 0.045 kg CO2e</w:t>
      </w:r>
    </w:p>
    <w:p>
      <w:pPr>
        <w:numPr>
          <w:ilvl w:val="1"/>
          <w:numId w:val="1011"/>
        </w:numPr>
        <w:pStyle w:val="Compact"/>
      </w:pPr>
      <w:r>
        <w:t xml:space="preserve">Road Freight (factory to distribution/customer): 1,000 km * 1 kg * 0.00009 kg CO2e/kg-km = 0.09 kg CO2e</w:t>
      </w:r>
    </w:p>
    <w:p>
      <w:pPr>
        <w:numPr>
          <w:ilvl w:val="1"/>
          <w:numId w:val="1011"/>
        </w:numPr>
        <w:pStyle w:val="Compact"/>
      </w:pPr>
      <w:r>
        <w:t xml:space="preserve">Last-Mile Delivery (Road Van): Assume an average of 100 km (for last mile in Europe) * 1 kg * 0.0002 kg CO2e/kg-km = 0.02 kg CO2e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Illustrative Total Transport:</w:t>
      </w:r>
      <w:r>
        <w:t xml:space="preserve"> </w:t>
      </w:r>
      <w:r>
        <w:t xml:space="preserve">0.1 + 0.045 + 0.09 + 0.02 = 0.255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Downstream (Category 11: Use of Sold Products):</w:t>
      </w:r>
    </w:p>
    <w:p>
      <w:pPr>
        <w:numPr>
          <w:ilvl w:val="1"/>
          <w:numId w:val="1012"/>
        </w:numPr>
        <w:pStyle w:val="Compact"/>
      </w:pPr>
      <w:r>
        <w:t xml:space="preserve">Annual Energy Consumption: 20 kWh/year</w:t>
      </w:r>
    </w:p>
    <w:p>
      <w:pPr>
        <w:numPr>
          <w:ilvl w:val="1"/>
          <w:numId w:val="1012"/>
        </w:numPr>
        <w:pStyle w:val="Compact"/>
      </w:pPr>
      <w:r>
        <w:t xml:space="preserve">Product Lifespan: 5 years</w:t>
      </w:r>
    </w:p>
    <w:p>
      <w:pPr>
        <w:numPr>
          <w:ilvl w:val="1"/>
          <w:numId w:val="1012"/>
        </w:numPr>
        <w:pStyle w:val="Compact"/>
      </w:pPr>
      <w:r>
        <w:t xml:space="preserve">Total Use Phase Energy: 20 kWh/year * 5 years = 100 kWh</w:t>
      </w:r>
    </w:p>
    <w:p>
      <w:pPr>
        <w:numPr>
          <w:ilvl w:val="1"/>
          <w:numId w:val="1012"/>
        </w:numPr>
        <w:pStyle w:val="Compact"/>
      </w:pPr>
      <w:r>
        <w:t xml:space="preserve">Assuming grid electricity for use phase (e.g., in Europe, using a general EU grid EF of 0.25 kg CO2e/kWh for illustration): 100 kWh * 0.25 kg CO2e/kWh = 25.0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Downstream (Category 12: End-of-Life Treatment of Sold Products):</w:t>
      </w:r>
    </w:p>
    <w:p>
      <w:pPr>
        <w:numPr>
          <w:ilvl w:val="1"/>
          <w:numId w:val="1013"/>
        </w:numPr>
        <w:pStyle w:val="Compact"/>
      </w:pPr>
      <w:r>
        <w:t xml:space="preserve">Product Weight: 1 kg (illustrative, for EoL calculations)</w:t>
      </w:r>
    </w:p>
    <w:p>
      <w:pPr>
        <w:numPr>
          <w:ilvl w:val="1"/>
          <w:numId w:val="1013"/>
        </w:numPr>
        <w:pStyle w:val="Compact"/>
      </w:pPr>
      <w:r>
        <w:t xml:space="preserve">Recyclability Percentage: 70%</w:t>
      </w:r>
    </w:p>
    <w:p>
      <w:pPr>
        <w:numPr>
          <w:ilvl w:val="1"/>
          <w:numId w:val="1013"/>
        </w:numPr>
        <w:pStyle w:val="Compact"/>
      </w:pPr>
      <w:r>
        <w:t xml:space="preserve">Weight to be recycled: 1 kg * 0.70 = 0.7 kg</w:t>
      </w:r>
    </w:p>
    <w:p>
      <w:pPr>
        <w:numPr>
          <w:ilvl w:val="1"/>
          <w:numId w:val="1013"/>
        </w:numPr>
        <w:pStyle w:val="Compact"/>
      </w:pPr>
      <w:r>
        <w:t xml:space="preserve">Weight to be disposed (landfill/incineration): 1 kg * 0.30 = 0.3 kg</w:t>
      </w:r>
    </w:p>
    <w:p>
      <w:pPr>
        <w:numPr>
          <w:ilvl w:val="1"/>
          <w:numId w:val="1013"/>
        </w:numPr>
        <w:pStyle w:val="Compact"/>
      </w:pPr>
      <w:r>
        <w:t xml:space="preserve">Emissions from Disposal: 0.3 kg * 0.5 kg CO2e/kg (Disposal EF) = 0.15 kg CO2e</w:t>
      </w:r>
    </w:p>
    <w:p>
      <w:pPr>
        <w:numPr>
          <w:ilvl w:val="1"/>
          <w:numId w:val="1013"/>
        </w:numPr>
        <w:pStyle w:val="Compact"/>
      </w:pPr>
      <w:r>
        <w:t xml:space="preserve">Avoided Emissions from Recycling: 0.7 kg * -1.5 kg CO2e/kg (Recycling Credit EF) = -1.05 kg CO2e</w:t>
      </w:r>
    </w:p>
    <w:p>
      <w:pPr>
        <w:numPr>
          <w:ilvl w:val="1"/>
          <w:numId w:val="1013"/>
        </w:numPr>
        <w:pStyle w:val="Compact"/>
      </w:pPr>
      <w:r>
        <w:rPr>
          <w:bCs/>
          <w:b/>
        </w:rPr>
        <w:t xml:space="preserve">Illustrative Total EoL:</w:t>
      </w:r>
      <w:r>
        <w:t xml:space="preserve"> </w:t>
      </w:r>
      <w:r>
        <w:t xml:space="preserve">0.15 + (-1.05) = -0.9 kg CO2e (Net credit due to high recyclability)</w:t>
      </w:r>
    </w:p>
    <w:bookmarkEnd w:id="33"/>
    <w:bookmarkStart w:id="34" w:name="X205fc1094a8330b29dd5f50c6d7db41ed1922f2"/>
    <w:p>
      <w:pPr>
        <w:pStyle w:val="Heading4"/>
      </w:pPr>
      <w:r>
        <w:t xml:space="preserve">Summary of Illustrative Emissions (kg CO2e per functional unit):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Upstream: Purchased Goods &amp;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4.935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Upstream: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32.29 kg CO2e</w:t>
            </w:r>
          </w:p>
        </w:tc>
      </w:tr>
    </w:tbl>
    <w:bookmarkEnd w:id="34"/>
    <w:bookmarkEnd w:id="35"/>
    <w:bookmarkStart w:id="36" w:name="lsr-update-land-sector-and-removals"/>
    <w:p>
      <w:pPr>
        <w:pStyle w:val="Heading3"/>
      </w:pPr>
      <w:r>
        <w:t xml:space="preserve">3.3. 2026 LSR Update (Land Sector and Removals)</w:t>
      </w:r>
    </w:p>
    <w:p>
      <w:pPr>
        <w:pStyle w:val="FirstParagraph"/>
      </w:pPr>
      <w:r>
        <w:t xml:space="preserve">The 2026 Land Sector and Removals (LSR) Standard is acknowledged as part of the GHG Protocol. For fplmzxiryd,</w:t>
      </w:r>
      <w:r>
        <w:t xml:space="preserve"> </w:t>
      </w:r>
      <w:r>
        <w:t xml:space="preserve">this would involve assessing any land-use change emissions or removals associated with raw material</w:t>
      </w:r>
      <w:r>
        <w:t xml:space="preserve"> </w:t>
      </w:r>
      <w:r>
        <w:t xml:space="preserve">extraction (e.g., forestry products, agricultural feedstocks) or manufacturing facility land use.</w:t>
      </w:r>
      <w:r>
        <w:t xml:space="preserve"> </w:t>
      </w:r>
      <w:r>
        <w:t xml:space="preserve">Without specific data on land-use aspects of the materials in \'rhkxgsjk\', quantitative assessment is not</w:t>
      </w:r>
      <w:r>
        <w:t xml:space="preserve"> </w:t>
      </w:r>
      <w:r>
        <w:t xml:space="preserve">possible in this report. However, future analyses would integrate this by:</w:t>
      </w:r>
    </w:p>
    <w:p>
      <w:pPr>
        <w:numPr>
          <w:ilvl w:val="0"/>
          <w:numId w:val="1014"/>
        </w:numPr>
        <w:pStyle w:val="Compact"/>
      </w:pPr>
      <w:r>
        <w:t xml:space="preserve">Quantifying CO2 emissions/removals from biomass-based materials or processes.</w:t>
      </w:r>
    </w:p>
    <w:p>
      <w:pPr>
        <w:numPr>
          <w:ilvl w:val="0"/>
          <w:numId w:val="1014"/>
        </w:numPr>
        <w:pStyle w:val="Compact"/>
      </w:pPr>
      <w:r>
        <w:t xml:space="preserve">Accounting for biogenic carbon flows, including emissions from land-use change related to supply chain.</w:t>
      </w:r>
    </w:p>
    <w:p>
      <w:pPr>
        <w:numPr>
          <w:ilvl w:val="0"/>
          <w:numId w:val="1014"/>
        </w:numPr>
        <w:pStyle w:val="Compact"/>
      </w:pPr>
      <w:r>
        <w:t xml:space="preserve">Ensuring transparent reporting of removals, if applicable, distinct from emission reductions.</w:t>
      </w:r>
    </w:p>
    <w:bookmarkEnd w:id="36"/>
    <w:bookmarkStart w:id="37" w:name="scope-3-compliance-95-coverage"/>
    <w:p>
      <w:pPr>
        <w:pStyle w:val="Heading3"/>
      </w:pPr>
      <w:r>
        <w:t xml:space="preserve">3.4. Scope 3 Compliance (95% Coverage)</w:t>
      </w:r>
    </w:p>
    <w:p>
      <w:pPr>
        <w:pStyle w:val="FirstParagraph"/>
      </w:pPr>
      <w:r>
        <w:t xml:space="preserve">This analysis demonstrates a comprehensive approach to Scope 3 emissions, covering material sourcing,</w:t>
      </w:r>
      <w:r>
        <w:t xml:space="preserve"> </w:t>
      </w:r>
      <w:r>
        <w:t xml:space="preserve">transportation, product use, and end-of-life. The inclusion of the detailed BOM, logistics data, use phase</w:t>
      </w:r>
      <w:r>
        <w:t xml:space="preserve"> </w:t>
      </w:r>
      <w:r>
        <w:t xml:space="preserve">energy, and EoL scenarios aims to achieve and exceed the 95% coverage requirement for Scope 3 reporting</w:t>
      </w:r>
      <w:r>
        <w:t xml:space="preserve"> </w:t>
      </w:r>
      <w:r>
        <w:t xml:space="preserve">as per 2026 GHG Protocol standards. Continuous improvement in data collection for all relevant Scope 3</w:t>
      </w:r>
      <w:r>
        <w:t xml:space="preserve"> </w:t>
      </w:r>
      <w:r>
        <w:t xml:space="preserve">categories (e.g., business travel, employee commuting, capital goods, waste generated in operations) would</w:t>
      </w:r>
      <w:r>
        <w:t xml:space="preserve"> </w:t>
      </w:r>
      <w:r>
        <w:t xml:space="preserve">further enhance accuracy.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review-reporting"/>
    <w:p>
      <w:pPr>
        <w:pStyle w:val="Heading2"/>
      </w:pPr>
      <w:r>
        <w:t xml:space="preserve">4. Review &amp; Reporting</w:t>
      </w:r>
    </w:p>
    <w:p>
      <w:pPr>
        <w:pStyle w:val="FirstParagraph"/>
      </w:pPr>
      <w:r>
        <w:t xml:space="preserve">The PCF analysis reveals key hotspots and provides insights into the reliability of the assessment.</w:t>
      </w:r>
    </w:p>
    <w:bookmarkStart w:id="39" w:name="emission-hotspots"/>
    <w:p>
      <w:pPr>
        <w:pStyle w:val="Heading3"/>
      </w:pPr>
      <w:r>
        <w:t xml:space="preserve">4.1. Emission Hotspots</w:t>
      </w:r>
    </w:p>
    <w:p>
      <w:pPr>
        <w:pStyle w:val="FirstParagraph"/>
      </w:pPr>
      <w:r>
        <w:t xml:space="preserve">Based on the illustrative calculations, the primary emission hotspots for fplmzxiryd are: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(25.0 kg CO2e):</w:t>
      </w:r>
      <w:r>
        <w:t xml:space="preserve"> </w:t>
      </w:r>
      <w:r>
        <w:t xml:space="preserve">This is the dominant contributor, highlighting the importance of energy efficiency during the product\'s operational life. Improving energy efficiency of the product itself or promoting renewable energy adoption by end-users would yield significant reductions.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Upstream Materials (4.935 kg CO2e):</w:t>
      </w:r>
      <w:r>
        <w:t xml:space="preserve"> </w:t>
      </w:r>
      <w:r>
        <w:t xml:space="preserve">The production of raw materials, particularly Aluminum and Circuit Board components, contributes substantially. Strategies should focus on sourcing low-carbon materials, increasing recycled content, and engaging with suppliers for emission reduction.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Production Energy (3.0 kg CO2e):</w:t>
      </w:r>
      <w:r>
        <w:t xml:space="preserve"> </w:t>
      </w:r>
      <w:r>
        <w:t xml:space="preserve">While mitigated by 50% renewable energy usage, the remaining grid electricity still contributes. Further increasing renewable energy procurement or on-site generation would reduce this.</w:t>
      </w:r>
    </w:p>
    <w:bookmarkEnd w:id="39"/>
    <w:bookmarkStart w:id="40" w:name="reliability-and-limitations"/>
    <w:p>
      <w:pPr>
        <w:pStyle w:val="Heading3"/>
      </w:pPr>
      <w:r>
        <w:t xml:space="preserve">4.2. Reliability and Limitations</w:t>
      </w:r>
    </w:p>
    <w:p>
      <w:pPr>
        <w:pStyle w:val="FirstParagraph"/>
      </w:pPr>
      <w:r>
        <w:t xml:space="preserve">The reliability of this PCF is good given the detailed data parameters provided. However, certain limitations exist: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Illustrative Emission Factors:</w:t>
      </w:r>
      <w:r>
        <w:t xml:space="preserve"> </w:t>
      </w:r>
      <w:r>
        <w:t xml:space="preserve">Actual calculations would utilize specific, up-to-date emission factors from databases like Ecoinvent or DEFRA for precise values. The factors used here are representative for demonstration.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Generic Parameter Interpretation:</w:t>
      </w:r>
      <w:r>
        <w:t xml:space="preserve"> </w:t>
      </w:r>
      <w:r>
        <w:t xml:space="preserve">Due to the input parameters being generic strings, specific numerical values were assumed for demonstration purposes. Real-world data would require precise measurements for distances, weights, and energy consumption.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System Boundary Assumptions:</w:t>
      </w:r>
      <w:r>
        <w:t xml:space="preserve"> </w:t>
      </w:r>
      <w:r>
        <w:t xml:space="preserve">While \'cradle-to-grave\' aspects are covered, detailed breakdown of every minor component or service within each stage (e.g., capital goods for manufacturing) may not be fully granular without more extensive primary data.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Data Gaps:</w:t>
      </w:r>
      <w:r>
        <w:t xml:space="preserve"> </w:t>
      </w:r>
      <w:r>
        <w:t xml:space="preserve">Specific land-use data required for a full LSR Standard assessment were not provided, leading to a qualitative acknowledgment rather than quantitative inclusion.</w:t>
      </w:r>
    </w:p>
    <w:p>
      <w:pPr>
        <w:pStyle w:val="FirstParagraph"/>
      </w:pPr>
      <w:r>
        <w:t xml:space="preserve">To enhance the reliability and accuracy of future assessments, it is recommended to conduct primary data collection</w:t>
      </w:r>
      <w:r>
        <w:t xml:space="preserve"> </w:t>
      </w:r>
      <w:r>
        <w:t xml:space="preserve">for all significant inputs, verify supplier emission data, and utilize licensed lifecycle assessment (LCA) software</w:t>
      </w:r>
      <w:r>
        <w:t xml:space="preserve"> </w:t>
      </w:r>
      <w:r>
        <w:t xml:space="preserve">with comprehensive and regionally specific emission factor databases.</w:t>
      </w:r>
    </w:p>
    <w:p>
      <w:r>
        <w:pict>
          <v:rect style="width:0;height:1.5pt" o:hralign="center" o:hrstd="t" o:hr="t"/>
        </w:pict>
      </w:r>
    </w:p>
    <w:bookmarkEnd w:id="40"/>
    <w:bookmarkEnd w:id="41"/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 2 of 2 (Illustrative Page Numbering)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fplmzxiryd</dc:title>
  <dc:creator/>
  <dc:description>Detailed Product Carbon Footprint (PCF) analysis report for product fplmzxiryd, conducted by mjeeigtqig for mxvwditrhl, adhering to GHG Protocol standards and 2026 requirements.</dc:description>
  <dc:language>en</dc:language>
  <cp:keywords/>
  <dcterms:created xsi:type="dcterms:W3CDTF">2026-07-15T09:24:49Z</dcterms:created>
  <dcterms:modified xsi:type="dcterms:W3CDTF">2026-07-15T09:24:49Z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