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fpkddkutni</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fpkddkutni"/>
    <w:p>
      <w:pPr>
        <w:pStyle w:val="Heading1"/>
      </w:pPr>
      <w:r>
        <w:t xml:space="preserve">for fpkddkutni</w:t>
      </w:r>
    </w:p>
    <w:p>
      <w:pPr>
        <w:pStyle w:val="FirstParagraph"/>
      </w:pPr>
      <w:r>
        <w:rPr>
          <w:bCs/>
          <w:b/>
        </w:rPr>
        <w:t xml:space="preserve">Company Name:</w:t>
      </w:r>
      <w:r>
        <w:t xml:space="preserve"> </w:t>
      </w:r>
      <w:r>
        <w:t xml:space="preserve">fhvomplmru</w:t>
      </w:r>
    </w:p>
    <w:p>
      <w:pPr>
        <w:pStyle w:val="BodyText"/>
      </w:pPr>
      <w:r>
        <w:rPr>
          <w:bCs/>
          <w:b/>
        </w:rPr>
        <w:t xml:space="preserve">Senior Sustainability Consultant:</w:t>
      </w:r>
      <w:r>
        <w:t xml:space="preserve"> </w:t>
      </w:r>
      <w:r>
        <w:t xml:space="preserve">ftswszhqfr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All numerical calculations are illustrative and aim to demonstrate the methodology for Product Carbon Footprint analysis, not to provide definitive real-world values without comprehensive primary data collection. Detailed primary data for specific parameters like \'tggvlvzg\', \'wegnxenjjt\', \'ymzigrohum\', \'yfvshkvdrj\', \'ukynwtsdkl\', \'xzfmetvkgz\', \'veozzivnfy\', and \'rifhplnmgi\' are represented by their provided textual placeholders; for actual calculations, these would be quantitative values.</w:t>
      </w:r>
    </w:p>
    <w:bookmarkEnd w:id="21"/>
    <w:bookmarkStart w:id="45" w:name="X8c75d404f31032338f69e2f5448c5b264104abb"/>
    <w:p>
      <w:pPr>
        <w:pStyle w:val="Heading1"/>
      </w:pPr>
      <w:r>
        <w:t xml:space="preserve">Product Carbon Footprint Report for fpkddkutni</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fpkddkutni, manufactured by fhvomplmru.</w:t>
      </w:r>
      <w:r>
        <w:t xml:space="preserve"> </w:t>
      </w:r>
      <w:r>
        <w:t xml:space="preserve">The analysis was conducted by ftswszhqfr, Senior Sustainability Consultant, in accordance with the GHG Protocol standards, including the 2026 Land Sector and Removals (LSR) update.</w:t>
      </w:r>
      <w:r>
        <w:t xml:space="preserve"> </w:t>
      </w:r>
      <w:r>
        <w:t xml:space="preserve">The primary objective is to quantify the greenhouse gas emissions associated with fpkddkutni across its lifecycle, identify emission hotspots, and provide a foundation for sustainability improvements.</w:t>
      </w:r>
      <w:r>
        <w:t xml:space="preserve"> </w:t>
      </w:r>
      <w:r>
        <w:t xml:space="preserve">This assessment adheres to a factory-gate system boundary, extending to include the use phase and end-of-life stages for a full lifecycle perspective.</w:t>
      </w:r>
      <w:r>
        <w:t xml:space="preserve"> </w:t>
      </w:r>
      <w:r>
        <w:t xml:space="preserve">Illustrative calculations are provided to demonstrate the methodology using the specified parameters.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fpkddkutni follows a five-step methodology aligned with GHG Protocol guidelines:</w:t>
      </w:r>
    </w:p>
    <w:p>
      <w:pPr>
        <w:numPr>
          <w:ilvl w:val="0"/>
          <w:numId w:val="1001"/>
        </w:numPr>
        <w:pStyle w:val="Compact"/>
      </w:pPr>
      <w:r>
        <w:rPr>
          <w:bCs/>
          <w:b/>
        </w:rPr>
        <w:t xml:space="preserve">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Identifying all relevant life cycle inventory (LCI) stages.</w:t>
      </w:r>
    </w:p>
    <w:p>
      <w:pPr>
        <w:numPr>
          <w:ilvl w:val="0"/>
          <w:numId w:val="1001"/>
        </w:numPr>
        <w:pStyle w:val="Compact"/>
      </w:pPr>
      <w:r>
        <w:rPr>
          <w:bCs/>
          <w:b/>
        </w:rPr>
        <w:t xml:space="preserve">Collect Data:</w:t>
      </w:r>
      <w:r>
        <w:t xml:space="preserve"> </w:t>
      </w:r>
      <w:r>
        <w:t xml:space="preserve">Gathering primary and secondary activity data and corresponding emission factors.</w:t>
      </w:r>
    </w:p>
    <w:p>
      <w:pPr>
        <w:numPr>
          <w:ilvl w:val="0"/>
          <w:numId w:val="1001"/>
        </w:numPr>
        <w:pStyle w:val="Compact"/>
      </w:pPr>
      <w:r>
        <w:rPr>
          <w:bCs/>
          <w:b/>
        </w:rPr>
        <w:t xml:space="preserve">Calculate Emissions:</w:t>
      </w:r>
      <w:r>
        <w:t xml:space="preserve"> </w:t>
      </w:r>
      <w:r>
        <w:t xml:space="preserve">Quantifying emissions (Activity * Emission Factor = CO2e) across all stages and categorizing them into GHG Protocol Scopes.</w:t>
      </w:r>
    </w:p>
    <w:p>
      <w:pPr>
        <w:numPr>
          <w:ilvl w:val="0"/>
          <w:numId w:val="1001"/>
        </w:numPr>
        <w:pStyle w:val="Compact"/>
      </w:pPr>
      <w:r>
        <w:rPr>
          <w:bCs/>
          <w:b/>
        </w:rPr>
        <w:t xml:space="preserve">Review &amp; Report:</w:t>
      </w:r>
      <w:r>
        <w:t xml:space="preserve"> </w:t>
      </w:r>
      <w:r>
        <w:t xml:space="preserve">Analyzing results, identifying hotspots, assessing data reliability, and presenting findings.</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1.0 unit of fpkddkutni.</w:t>
      </w:r>
    </w:p>
    <w:p>
      <w:pPr>
        <w:numPr>
          <w:ilvl w:val="0"/>
          <w:numId w:val="1002"/>
        </w:numPr>
        <w:pStyle w:val="Compact"/>
      </w:pPr>
      <w:r>
        <w:rPr>
          <w:bCs/>
          <w:b/>
        </w:rPr>
        <w:t xml:space="preserve">System Boundary:</w:t>
      </w:r>
      <w:r>
        <w:t xml:space="preserve"> </w:t>
      </w:r>
      <w:r>
        <w:t xml:space="preserve">factory_gate. This boundary specifically refers to the emissions associated with raw material extraction, processing, component manufacturing, and all production activities up to the point the finished product leaves the manufacturing facility. For a comprehensive PCF as requested, the analysis extends to include the use phase and end-of-life stages.</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is centered in China, while a significant portion of raw material and component sourcing originates from Europe.</w:t>
      </w:r>
    </w:p>
    <w:p>
      <w:pPr>
        <w:numPr>
          <w:ilvl w:val="0"/>
          <w:numId w:val="1002"/>
        </w:numPr>
        <w:pStyle w:val="Compact"/>
      </w:pPr>
      <w:r>
        <w:rPr>
          <w:bCs/>
          <w:b/>
        </w:rPr>
        <w:t xml:space="preserve">Allocation:</w:t>
      </w:r>
      <w:r>
        <w:t xml:space="preserve"> </w:t>
      </w:r>
      <w:r>
        <w:t xml:space="preserve">Where shared processes or facilities are involved, emissions are allocated based on physical (e.g., mass, volume) or economic (e.g., revenue) causality, ensuring no double-counting or omissions in accordance with GHG Protocol guidelines.</w:t>
      </w:r>
    </w:p>
    <w:p>
      <w:pPr>
        <w:numPr>
          <w:ilvl w:val="0"/>
          <w:numId w:val="1002"/>
        </w:numPr>
        <w:pStyle w:val="Compact"/>
      </w:pPr>
      <w:r>
        <w:rPr>
          <w:bCs/>
          <w:b/>
        </w:rPr>
        <w:t xml:space="preserve">Accounting Standard:</w:t>
      </w:r>
      <w:r>
        <w:t xml:space="preserve"> </w:t>
      </w:r>
      <w:r>
        <w:t xml:space="preserve">This PCF analysis strictly adheres to the GHG Protocol Product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is applied to account for land use change emissions and carbon removals, ensuring a more comprehensive assessment of biogenic carbon flows relevant to the product\'s lifecycle.</w:t>
      </w:r>
    </w:p>
    <w:p>
      <w:pPr>
        <w:numPr>
          <w:ilvl w:val="0"/>
          <w:numId w:val="1002"/>
        </w:numPr>
        <w:pStyle w:val="Compact"/>
      </w:pPr>
      <w:r>
        <w:rPr>
          <w:bCs/>
          <w:b/>
        </w:rPr>
        <w:t xml:space="preserve">Scope 3 Compliance:</w:t>
      </w:r>
      <w:r>
        <w:t xml:space="preserve"> </w:t>
      </w:r>
      <w:r>
        <w:t xml:space="preserve">A rigorous effort is made to ensure at least 95% coverage for Scope 3 reporting, in line with 2026 requirements, capturing all significant upstream and downstream value chain emissions for fpkddkutni.</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fpkddkutni is mapped through the following stages, illustrating the flow of materials and energy from "cradle to grave" or "cradle to cradle" in the case of circularity:</w:t>
      </w:r>
    </w:p>
    <w:p>
      <w:pPr>
        <w:numPr>
          <w:ilvl w:val="0"/>
          <w:numId w:val="1003"/>
        </w:numPr>
        <w:pStyle w:val="Compact"/>
      </w:pPr>
      <w:r>
        <w:rPr>
          <w:bCs/>
          <w:b/>
        </w:rPr>
        <w:t xml:space="preserve">Raw Material Acquisition &amp; Processing:</w:t>
      </w:r>
      <w:r>
        <w:t xml:space="preserve"> </w:t>
      </w:r>
      <w:r>
        <w:t xml:space="preserve">This stage includes emissions from the extraction, cultivation, and initial processing of virgin and recycled materials, as well as the manufacturing of components specified in the Bill of Materials (BOM) for fpkddkutni.</w:t>
      </w:r>
    </w:p>
    <w:p>
      <w:pPr>
        <w:numPr>
          <w:ilvl w:val="0"/>
          <w:numId w:val="1003"/>
        </w:numPr>
        <w:pStyle w:val="Compact"/>
      </w:pPr>
      <w:r>
        <w:rPr>
          <w:bCs/>
          <w:b/>
        </w:rPr>
        <w:t xml:space="preserve">Manufacturing (Production):</w:t>
      </w:r>
      <w:r>
        <w:t xml:space="preserve"> </w:t>
      </w:r>
      <w:r>
        <w:t xml:space="preserve">Encompasses all processes involved in transforming raw materials and components into the final fpkddkutni product at the fhvomplmru facility in China. This includes energy consumption (electricity, heat), waste generation, and any direct emissions from production processes.</w:t>
      </w:r>
    </w:p>
    <w:p>
      <w:pPr>
        <w:numPr>
          <w:ilvl w:val="0"/>
          <w:numId w:val="1003"/>
        </w:numPr>
        <w:pStyle w:val="Compact"/>
      </w:pPr>
      <w:r>
        <w:rPr>
          <w:bCs/>
          <w:b/>
        </w:rPr>
        <w:t xml:space="preserve">Transport (Inbound Logistics):</w:t>
      </w:r>
      <w:r>
        <w:t xml:space="preserve"> </w:t>
      </w:r>
      <w:r>
        <w:t xml:space="preserve">Covers the transportation of raw materials and components from suppliers (Europe Focused) to the manufacturing facility (China). This also includes associated logistics activities.</w:t>
      </w:r>
    </w:p>
    <w:p>
      <w:pPr>
        <w:numPr>
          <w:ilvl w:val="0"/>
          <w:numId w:val="1003"/>
        </w:numPr>
        <w:pStyle w:val="Compact"/>
      </w:pPr>
      <w:r>
        <w:rPr>
          <w:bCs/>
          <w:b/>
        </w:rPr>
        <w:t xml:space="preserve">Distribution (Outbound Logistics / Last-Mile):</w:t>
      </w:r>
      <w:r>
        <w:t xml:space="preserve"> </w:t>
      </w:r>
      <w:r>
        <w:t xml:space="preserve">Emissions associated with transporting the finished fpkddkutni product from the factory gate to the customer, including last-mile delivery channels.</w:t>
      </w:r>
    </w:p>
    <w:p>
      <w:pPr>
        <w:numPr>
          <w:ilvl w:val="0"/>
          <w:numId w:val="1003"/>
        </w:numPr>
        <w:pStyle w:val="Compact"/>
      </w:pPr>
      <w:r>
        <w:rPr>
          <w:bCs/>
          <w:b/>
        </w:rPr>
        <w:t xml:space="preserve">Use Phase:</w:t>
      </w:r>
      <w:r>
        <w:t xml:space="preserve"> </w:t>
      </w:r>
      <w:r>
        <w:t xml:space="preserve">Emissions associated with the product\'s intended use by the consumer over its specified lifespan, primarily from energy consumption during operation.</w:t>
      </w:r>
    </w:p>
    <w:p>
      <w:pPr>
        <w:numPr>
          <w:ilvl w:val="0"/>
          <w:numId w:val="1003"/>
        </w:numPr>
        <w:pStyle w:val="Compact"/>
      </w:pPr>
      <w:r>
        <w:rPr>
          <w:bCs/>
          <w:b/>
        </w:rPr>
        <w:t xml:space="preserve">End-of-Life (EoL):</w:t>
      </w:r>
      <w:r>
        <w:t xml:space="preserve"> </w:t>
      </w:r>
      <w:r>
        <w:t xml:space="preserve">Emissions and potential avoided emissions related to the collection, sorting, recycling, incineration, or landfilling of the fpkddkutni product at the end of its useful life, influenced by its recyclability and circular programs.</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collection involved gathering both primary (company-specific) and secondary (industry average) data points for the various lifecycle stages. The specific parameters provided are used as follows to ensure a high-detail analysis:</w:t>
      </w:r>
    </w:p>
    <w:bookmarkStart w:id="26" w:name="Xd7d57e74b06994cfecad99c6d9e5cc6ebf2d27f"/>
    <w:p>
      <w:pPr>
        <w:pStyle w:val="Heading3"/>
      </w:pPr>
      <w:r>
        <w:t xml:space="preserve">3.1. Detailed Bill of Materials (BOM) for Material Impact</w:t>
      </w:r>
    </w:p>
    <w:p>
      <w:pPr>
        <w:pStyle w:val="FirstParagraph"/>
      </w:pPr>
      <w:r>
        <w:t xml:space="preserve">The provided Detailed Bill of Materials (BOM) data, designated as "tggvlvzg", is fundamental for calculating the high-accuracy material impact, replacing default estimates. While \'tggvlvzg\' is given as a string placeholder, its format is specified as: ID, Description, Category, Process, Qty, Unit, Emission Factor, Total Carbon. For illustrative purposes, we demonstrate how such structured BOM data would be integrated into the material acquisition and processing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101</w:t>
            </w:r>
          </w:p>
        </w:tc>
        <w:tc>
          <w:tcPr/>
          <w:p>
            <w:pPr>
              <w:pStyle w:val="Compact"/>
              <w:jc w:val="left"/>
            </w:pPr>
            <w:r>
              <w:t xml:space="preserve">Plastic Casing (as per tggvlvzg data format)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bl>
    <w:p>
      <w:pPr>
        <w:pStyle w:val="BodyText"/>
      </w:pPr>
      <w:r>
        <w:rPr>
          <w:iCs/>
          <w:i/>
        </w:rPr>
        <w:t xml:space="preserve">Note: The "Illustrative Emission Factor" and "Illustrative Total Carbon" values in this table are examples of how the BOM data format, as described for \'tggvlvzg\', would be utilized. Actual calculations would incorporate the specific numerical values for Emission Factor and Total Carbon provided within the full \'tggvlvzg\' dataset for each component of fpkddkutni.</w:t>
      </w:r>
    </w:p>
    <w:bookmarkEnd w:id="26"/>
    <w:bookmarkStart w:id="27" w:name="Xb44303b2f63522436fbc7a96d2577ce927f5c9d"/>
    <w:p>
      <w:pPr>
        <w:pStyle w:val="Heading3"/>
      </w:pPr>
      <w:r>
        <w:t xml:space="preserve">3.2. Production Phase Energy Data (Manufacturing)</w:t>
      </w:r>
    </w:p>
    <w:p>
      <w:pPr>
        <w:numPr>
          <w:ilvl w:val="0"/>
          <w:numId w:val="1004"/>
        </w:numPr>
        <w:pStyle w:val="Compact"/>
      </w:pPr>
      <w:r>
        <w:rPr>
          <w:bCs/>
          <w:b/>
        </w:rPr>
        <w:t xml:space="preserve">Renewable Energy Usage:</w:t>
      </w:r>
      <w:r>
        <w:t xml:space="preserve"> </w:t>
      </w:r>
      <w:r>
        <w:t xml:space="preserve">ymzigrohum. This specific value (e.g., 60% renewable electricity) directly informs the calculation of Scope 2 emissions by reducing the grid electricity reliance.</w:t>
      </w:r>
    </w:p>
    <w:p>
      <w:pPr>
        <w:numPr>
          <w:ilvl w:val="0"/>
          <w:numId w:val="1004"/>
        </w:numPr>
        <w:pStyle w:val="Compact"/>
      </w:pPr>
      <w:r>
        <w:rPr>
          <w:bCs/>
          <w:b/>
        </w:rPr>
        <w:t xml:space="preserve">Energy Intensity (kWh/unit):</w:t>
      </w:r>
      <w:r>
        <w:t xml:space="preserve"> </w:t>
      </w:r>
      <w:r>
        <w:t xml:space="preserve">yfvshkvdrj. This value (e.g., 2.0 kWh/unit) precisely quantifies the total electricity required for the manufacturing of one unit of fpkddkutni.</w:t>
      </w:r>
    </w:p>
    <w:bookmarkEnd w:id="27"/>
    <w:bookmarkStart w:id="28" w:name="logistics-data-inbound-and-outbound"/>
    <w:p>
      <w:pPr>
        <w:pStyle w:val="Heading3"/>
      </w:pPr>
      <w:r>
        <w:t xml:space="preserve">3.3. Logistics Data (Inbound and Outbound)</w:t>
      </w:r>
    </w:p>
    <w:p>
      <w:pPr>
        <w:numPr>
          <w:ilvl w:val="0"/>
          <w:numId w:val="1005"/>
        </w:numPr>
        <w:pStyle w:val="Compact"/>
      </w:pPr>
      <w:r>
        <w:rPr>
          <w:bCs/>
          <w:b/>
        </w:rPr>
        <w:t xml:space="preserve">Transport Mode (Inbound):</w:t>
      </w:r>
      <w:r>
        <w:t xml:space="preserve"> </w:t>
      </w:r>
      <w:r>
        <w:t xml:space="preserve">Select Mode (e.g., Ocean Freight for bulk components from Europe to China, followed by Road Freight within China).</w:t>
      </w:r>
    </w:p>
    <w:p>
      <w:pPr>
        <w:numPr>
          <w:ilvl w:val="0"/>
          <w:numId w:val="1005"/>
        </w:numPr>
        <w:pStyle w:val="Compact"/>
      </w:pPr>
      <w:r>
        <w:rPr>
          <w:bCs/>
          <w:b/>
        </w:rPr>
        <w:t xml:space="preserve">Transport Distance (Inbound):</w:t>
      </w:r>
      <w:r>
        <w:t xml:space="preserve"> </w:t>
      </w:r>
      <w:r>
        <w:t xml:space="preserve">wegnxenjjt (e.g., 15,000 km for international ocean freight, 500 km for domestic road freight).</w:t>
      </w:r>
    </w:p>
    <w:p>
      <w:pPr>
        <w:numPr>
          <w:ilvl w:val="0"/>
          <w:numId w:val="1005"/>
        </w:numPr>
        <w:pStyle w:val="Compact"/>
      </w:pPr>
      <w:r>
        <w:rPr>
          <w:bCs/>
          <w:b/>
        </w:rPr>
        <w:t xml:space="preserve">Last-Mile Delivery Channel (Outbound):</w:t>
      </w:r>
      <w:r>
        <w:t xml:space="preserve"> </w:t>
      </w:r>
      <w:r>
        <w:t xml:space="preserve">Delivery Type (e.g., Parcel Post directly to consumers).</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ukynwtsdkl (e.g., 5 years). This determines the duration over which the product\'s operational emissions are accounted for.</w:t>
      </w:r>
    </w:p>
    <w:p>
      <w:pPr>
        <w:numPr>
          <w:ilvl w:val="0"/>
          <w:numId w:val="1006"/>
        </w:numPr>
        <w:pStyle w:val="Compact"/>
      </w:pPr>
      <w:r>
        <w:rPr>
          <w:bCs/>
          <w:b/>
        </w:rPr>
        <w:t xml:space="preserve">Energy Consumption in Use:</w:t>
      </w:r>
      <w:r>
        <w:t xml:space="preserve"> </w:t>
      </w:r>
      <w:r>
        <w:t xml:space="preserve">xzfmetvkgz (e.g., 0.1 kWh/day). This specifies the daily energy draw of fpkddkutni during its active use.</w:t>
      </w:r>
    </w:p>
    <w:bookmarkEnd w:id="29"/>
    <w:bookmarkStart w:id="30"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veozzivnfy (e.g., 70%). This percentage is critical for determining the potential for avoided emissions through material recovery and recycling.</w:t>
      </w:r>
    </w:p>
    <w:p>
      <w:pPr>
        <w:numPr>
          <w:ilvl w:val="0"/>
          <w:numId w:val="1007"/>
        </w:numPr>
        <w:pStyle w:val="Compact"/>
      </w:pPr>
      <w:r>
        <w:rPr>
          <w:bCs/>
          <w:b/>
        </w:rPr>
        <w:t xml:space="preserve">Circular/Take-back Programs:</w:t>
      </w:r>
      <w:r>
        <w:t xml:space="preserve"> </w:t>
      </w:r>
      <w:r>
        <w:t xml:space="preserve">rifhplnmgi (e.g., Yes, with an established product take-back program for refurbishment or material recovery). This reflects the company\'s commitment to circular economy principles and can lead to significant reductions in overall EoL impact.</w:t>
      </w:r>
    </w:p>
    <w:p>
      <w:r>
        <w:pict>
          <v:rect style="width:0;height:1.5pt" o:hralign="center" o:hrstd="t" o:hr="t"/>
        </w:pict>
      </w:r>
    </w:p>
    <w:bookmarkEnd w:id="30"/>
    <w:bookmarkEnd w:id="31"/>
    <w:bookmarkStart w:id="40" w:name="emissions-calculation"/>
    <w:p>
      <w:pPr>
        <w:pStyle w:val="Heading2"/>
      </w:pPr>
      <w:r>
        <w:t xml:space="preserve">4. Emissions Calculation</w:t>
      </w:r>
    </w:p>
    <w:p>
      <w:pPr>
        <w:pStyle w:val="FirstParagraph"/>
      </w:pPr>
      <w:r>
        <w:t xml:space="preserve">Emissions for each lifecycle stage are calculated using the formula: Activity Data × Emission Factor = CO2e. Emission factors are predominantly sourced from recognized industry-standard databases (e.g., Ecoinvent, DEFRA) when specific primary data is not available. All calculated emissions are expressed in kilograms of carbon dioxide equivalent (kgCO2e).</w:t>
      </w:r>
    </w:p>
    <w:bookmarkStart w:id="32" w:name="illustrative-emission-factors-used"/>
    <w:p>
      <w:pPr>
        <w:pStyle w:val="Heading3"/>
      </w:pPr>
      <w:r>
        <w:t xml:space="preserve">4.1. Illustrative Emission Factors Used</w:t>
      </w:r>
    </w:p>
    <w:p>
      <w:pPr>
        <w:pStyle w:val="FirstParagraph"/>
      </w:pPr>
      <w:r>
        <w:t xml:space="preserve">For the purpose of demonstrating the methodology, the following illustrative emission factors are applied: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Illustrative Emission Factor (kgCO2e/unit of activity)</w:t>
            </w:r>
          </w:p>
        </w:tc>
        <w:tc>
          <w:tcPr/>
          <w:p>
            <w:pPr>
              <w:pStyle w:val="Compact"/>
              <w:jc w:val="left"/>
            </w:pPr>
            <w:r>
              <w:t xml:space="preserve">Source (Illustrative)</w:t>
            </w:r>
          </w:p>
        </w:tc>
      </w:tr>
      <w:tr>
        <w:tc>
          <w:tcPr/>
          <w:p>
            <w:pPr>
              <w:pStyle w:val="Compact"/>
              <w:jc w:val="left"/>
            </w:pPr>
            <w:r>
              <w:t xml:space="preserve">Electricity Grid (China Average)</w:t>
            </w:r>
          </w:p>
        </w:tc>
        <w:tc>
          <w:tcPr/>
          <w:p>
            <w:pPr>
              <w:pStyle w:val="Compact"/>
              <w:jc w:val="left"/>
            </w:pPr>
            <w:r>
              <w:t xml:space="preserve">1 kWh</w:t>
            </w:r>
          </w:p>
        </w:tc>
        <w:tc>
          <w:tcPr/>
          <w:p>
            <w:pPr>
              <w:pStyle w:val="Compact"/>
              <w:jc w:val="left"/>
            </w:pPr>
            <w:r>
              <w:t xml:space="preserve">0.8 kgCO2e/kWh</w:t>
            </w:r>
          </w:p>
        </w:tc>
        <w:tc>
          <w:tcPr/>
          <w:p>
            <w:pPr>
              <w:pStyle w:val="Compact"/>
              <w:jc w:val="left"/>
            </w:pPr>
            <w:r>
              <w:t xml:space="preserve">IEA / Ecoinvent (regional average)</w:t>
            </w:r>
          </w:p>
        </w:tc>
      </w:tr>
      <w:tr>
        <w:tc>
          <w:tcPr/>
          <w:p>
            <w:pPr>
              <w:pStyle w:val="Compact"/>
              <w:jc w:val="left"/>
            </w:pPr>
            <w:r>
              <w:t xml:space="preserve">Renewable Electricity (Purchased)</w:t>
            </w:r>
          </w:p>
        </w:tc>
        <w:tc>
          <w:tcPr/>
          <w:p>
            <w:pPr>
              <w:pStyle w:val="Compact"/>
              <w:jc w:val="left"/>
            </w:pPr>
            <w:r>
              <w:t xml:space="preserve">1 kWh</w:t>
            </w:r>
          </w:p>
        </w:tc>
        <w:tc>
          <w:tcPr/>
          <w:p>
            <w:pPr>
              <w:pStyle w:val="Compact"/>
              <w:jc w:val="left"/>
            </w:pPr>
            <w:r>
              <w:t xml:space="preserve">0.02 kgCO2e/kWh</w:t>
            </w:r>
          </w:p>
        </w:tc>
        <w:tc>
          <w:tcPr/>
          <w:p>
            <w:pPr>
              <w:pStyle w:val="Compact"/>
              <w:jc w:val="left"/>
            </w:pPr>
            <w:r>
              <w:t xml:space="preserve">Ecoinvent (low-carbon average)</w:t>
            </w:r>
          </w:p>
        </w:tc>
      </w:tr>
      <w:tr>
        <w:tc>
          <w:tcPr/>
          <w:p>
            <w:pPr>
              <w:pStyle w:val="Compact"/>
              <w:jc w:val="left"/>
            </w:pPr>
            <w:r>
              <w:t xml:space="preserve">Ocean Freight</w:t>
            </w:r>
          </w:p>
        </w:tc>
        <w:tc>
          <w:tcPr/>
          <w:p>
            <w:pPr>
              <w:pStyle w:val="Compact"/>
              <w:jc w:val="left"/>
            </w:pPr>
            <w:r>
              <w:t xml:space="preserve">1 tonne-kilometre (tkm)</w:t>
            </w:r>
          </w:p>
        </w:tc>
        <w:tc>
          <w:tcPr/>
          <w:p>
            <w:pPr>
              <w:pStyle w:val="Compact"/>
              <w:jc w:val="left"/>
            </w:pPr>
            <w:r>
              <w:t xml:space="preserve">0.01 kgCO2e/tkm</w:t>
            </w:r>
          </w:p>
        </w:tc>
        <w:tc>
          <w:tcPr/>
          <w:p>
            <w:pPr>
              <w:pStyle w:val="Compact"/>
              <w:jc w:val="left"/>
            </w:pPr>
            <w:r>
              <w:t xml:space="preserve">DEFRA (global average)</w:t>
            </w:r>
          </w:p>
        </w:tc>
      </w:tr>
      <w:tr>
        <w:tc>
          <w:tcPr/>
          <w:p>
            <w:pPr>
              <w:pStyle w:val="Compact"/>
              <w:jc w:val="left"/>
            </w:pPr>
            <w:r>
              <w:t xml:space="preserve">Road Freight (Heavy Goods Vehicle &gt; 16t)</w:t>
            </w:r>
          </w:p>
        </w:tc>
        <w:tc>
          <w:tcPr/>
          <w:p>
            <w:pPr>
              <w:pStyle w:val="Compact"/>
              <w:jc w:val="left"/>
            </w:pPr>
            <w:r>
              <w:t xml:space="preserve">1 tonne-kilometre (tkm)</w:t>
            </w:r>
          </w:p>
        </w:tc>
        <w:tc>
          <w:tcPr/>
          <w:p>
            <w:pPr>
              <w:pStyle w:val="Compact"/>
              <w:jc w:val="left"/>
            </w:pPr>
            <w:r>
              <w:t xml:space="preserve">0.1 kgCO2e/tkm</w:t>
            </w:r>
          </w:p>
        </w:tc>
        <w:tc>
          <w:tcPr/>
          <w:p>
            <w:pPr>
              <w:pStyle w:val="Compact"/>
              <w:jc w:val="left"/>
            </w:pPr>
            <w:r>
              <w:t xml:space="preserve">DEFRA (EU average)</w:t>
            </w:r>
          </w:p>
        </w:tc>
      </w:tr>
      <w:tr>
        <w:tc>
          <w:tcPr/>
          <w:p>
            <w:pPr>
              <w:pStyle w:val="Compact"/>
              <w:jc w:val="left"/>
            </w:pPr>
            <w:r>
              <w:t xml:space="preserve">Parcel Post (Last Mile)</w:t>
            </w:r>
          </w:p>
        </w:tc>
        <w:tc>
          <w:tcPr/>
          <w:p>
            <w:pPr>
              <w:pStyle w:val="Compact"/>
              <w:jc w:val="left"/>
            </w:pPr>
            <w:r>
              <w:t xml:space="preserve">1 item</w:t>
            </w:r>
          </w:p>
        </w:tc>
        <w:tc>
          <w:tcPr/>
          <w:p>
            <w:pPr>
              <w:pStyle w:val="Compact"/>
              <w:jc w:val="left"/>
            </w:pPr>
            <w:r>
              <w:t xml:space="preserve">0.5 kgCO2e/item</w:t>
            </w:r>
          </w:p>
        </w:tc>
        <w:tc>
          <w:tcPr/>
          <w:p>
            <w:pPr>
              <w:pStyle w:val="Compact"/>
              <w:jc w:val="left"/>
            </w:pPr>
            <w:r>
              <w:t xml:space="preserve">Generic Estimate</w:t>
            </w:r>
          </w:p>
        </w:tc>
      </w:tr>
      <w:tr>
        <w:tc>
          <w:tcPr/>
          <w:p>
            <w:pPr>
              <w:pStyle w:val="Compact"/>
              <w:jc w:val="left"/>
            </w:pPr>
            <w:r>
              <w:t xml:space="preserve">Plastic Recycling (avoided)</w:t>
            </w:r>
          </w:p>
        </w:tc>
        <w:tc>
          <w:tcPr/>
          <w:p>
            <w:pPr>
              <w:pStyle w:val="Compact"/>
              <w:jc w:val="left"/>
            </w:pPr>
            <w:r>
              <w:t xml:space="preserve">1 kg plastic</w:t>
            </w:r>
          </w:p>
        </w:tc>
        <w:tc>
          <w:tcPr/>
          <w:p>
            <w:pPr>
              <w:pStyle w:val="Compact"/>
              <w:jc w:val="left"/>
            </w:pPr>
            <w:r>
              <w:t xml:space="preserve">-1.5 kgCO2e/kg</w:t>
            </w:r>
          </w:p>
        </w:tc>
        <w:tc>
          <w:tcPr/>
          <w:p>
            <w:pPr>
              <w:pStyle w:val="Compact"/>
              <w:jc w:val="left"/>
            </w:pPr>
            <w:r>
              <w:t xml:space="preserve">Ecoinvent (credit for virgin material avoided)</w:t>
            </w:r>
          </w:p>
        </w:tc>
      </w:tr>
      <w:tr>
        <w:tc>
          <w:tcPr/>
          <w:p>
            <w:pPr>
              <w:pStyle w:val="Compact"/>
              <w:jc w:val="left"/>
            </w:pPr>
            <w:r>
              <w:t xml:space="preserve">Waste Disposal (Landfill/Incineration)</w:t>
            </w:r>
          </w:p>
        </w:tc>
        <w:tc>
          <w:tcPr/>
          <w:p>
            <w:pPr>
              <w:pStyle w:val="Compact"/>
              <w:jc w:val="left"/>
            </w:pPr>
            <w:r>
              <w:t xml:space="preserve">1 kg mixed waste</w:t>
            </w:r>
          </w:p>
        </w:tc>
        <w:tc>
          <w:tcPr/>
          <w:p>
            <w:pPr>
              <w:pStyle w:val="Compact"/>
              <w:jc w:val="left"/>
            </w:pPr>
            <w:r>
              <w:t xml:space="preserve">1.0 kgCO2e/kg</w:t>
            </w:r>
          </w:p>
        </w:tc>
        <w:tc>
          <w:tcPr/>
          <w:p>
            <w:pPr>
              <w:pStyle w:val="Compact"/>
              <w:jc w:val="left"/>
            </w:pPr>
            <w:r>
              <w:t xml:space="preserve">Generic Estimate</w:t>
            </w:r>
          </w:p>
        </w:tc>
      </w:tr>
    </w:tbl>
    <w:bookmarkEnd w:id="32"/>
    <w:bookmarkStart w:id="37" w:name="Xd9e2a497698d7b91eab01274bada8571776c107"/>
    <w:p>
      <w:pPr>
        <w:pStyle w:val="Heading3"/>
      </w:pPr>
      <w:r>
        <w:t xml:space="preserve">4.2. Lifecycle Emission Breakdown (Illustrative Calculation for 1.0 unit of fpkddkutni)</w:t>
      </w:r>
    </w:p>
    <w:bookmarkStart w:id="33" w:name="scope-3-upstream-emissions"/>
    <w:p>
      <w:pPr>
        <w:pStyle w:val="Heading4"/>
      </w:pPr>
      <w:r>
        <w:t xml:space="preserve">Scope 3: Upstream Emissions</w:t>
      </w:r>
    </w:p>
    <w:p>
      <w:pPr>
        <w:numPr>
          <w:ilvl w:val="0"/>
          <w:numId w:val="1008"/>
        </w:numPr>
        <w:pStyle w:val="Compact"/>
      </w:pPr>
      <w:r>
        <w:rPr>
          <w:bCs/>
          <w:b/>
        </w:rPr>
        <w:t xml:space="preserve">Raw Material Acquisition &amp; Processing:</w:t>
      </w:r>
    </w:p>
    <w:p>
      <w:pPr>
        <w:numPr>
          <w:ilvl w:val="1"/>
          <w:numId w:val="1009"/>
        </w:numPr>
        <w:pStyle w:val="Compact"/>
      </w:pPr>
      <w:r>
        <w:t xml:space="preserve">Based on illustrative BOM data (sum of "Illustrative Total Carbon" from table in Section 3.1): 1.25 (Plastic Casing) + 1.50 (Circuit Board) + 0.10 (Copper Wire) = 2.85 kgCO2e.</w:t>
      </w:r>
    </w:p>
    <w:p>
      <w:pPr>
        <w:numPr>
          <w:ilvl w:val="1"/>
          <w:numId w:val="1009"/>
        </w:numPr>
        <w:pStyle w:val="Compact"/>
      </w:pPr>
      <w:r>
        <w:rPr>
          <w:iCs/>
          <w:i/>
        </w:rPr>
        <w:t xml:space="preserve">(Actual calculation would sum the \'Total Carbon\' values from all items within the \'tggvlvzg\' dataset.)</w:t>
      </w:r>
    </w:p>
    <w:p>
      <w:pPr>
        <w:numPr>
          <w:ilvl w:val="1"/>
          <w:numId w:val="1009"/>
        </w:numPr>
        <w:pStyle w:val="Compact"/>
      </w:pPr>
      <w:r>
        <w:rPr>
          <w:bCs/>
          <w:b/>
        </w:rPr>
        <w:t xml:space="preserve">Illustrative Total:</w:t>
      </w:r>
      <w:r>
        <w:t xml:space="preserve"> </w:t>
      </w:r>
      <w:r>
        <w:t xml:space="preserve">2.85 kgCO2e</w:t>
      </w:r>
    </w:p>
    <w:p>
      <w:pPr>
        <w:numPr>
          <w:ilvl w:val="0"/>
          <w:numId w:val="1008"/>
        </w:numPr>
        <w:pStyle w:val="Compact"/>
      </w:pPr>
      <w:r>
        <w:rPr>
          <w:bCs/>
          <w:b/>
        </w:rPr>
        <w:t xml:space="preserve">Inbound Transport:</w:t>
      </w:r>
    </w:p>
    <w:p>
      <w:pPr>
        <w:numPr>
          <w:ilvl w:val="1"/>
          <w:numId w:val="1010"/>
        </w:numPr>
        <w:pStyle w:val="Compact"/>
      </w:pPr>
      <w:r>
        <w:t xml:space="preserve">Assume a total product mass for transport of 0.6 kg (derived from illustrative BOM).</w:t>
      </w:r>
    </w:p>
    <w:p>
      <w:pPr>
        <w:numPr>
          <w:ilvl w:val="1"/>
          <w:numId w:val="1010"/>
        </w:numPr>
        <w:pStyle w:val="Compact"/>
      </w:pPr>
      <w:r>
        <w:t xml:space="preserve">Assume \'Select Mode\' represents Ocean Freight (Europe to China) and Road Freight (within Europe).</w:t>
      </w:r>
    </w:p>
    <w:p>
      <w:pPr>
        <w:numPr>
          <w:ilvl w:val="1"/>
          <w:numId w:val="1010"/>
        </w:numPr>
        <w:pStyle w:val="Compact"/>
      </w:pPr>
      <w:r>
        <w:t xml:space="preserve">Assume \'Transport Distance\' (wegnxenjjt) breakdown: 15,000 km by ocean, 500 km by road.</w:t>
      </w:r>
    </w:p>
    <w:p>
      <w:pPr>
        <w:numPr>
          <w:ilvl w:val="1"/>
          <w:numId w:val="1010"/>
        </w:numPr>
        <w:pStyle w:val="Compact"/>
      </w:pPr>
      <w:r>
        <w:t xml:space="preserve">Ocean Freight: (0.6 kg / 1000) tonnes * 15,000 km = 9 tkm * 0.01 kgCO2e/tkm = 0.09 kgCO2e.</w:t>
      </w:r>
    </w:p>
    <w:p>
      <w:pPr>
        <w:numPr>
          <w:ilvl w:val="1"/>
          <w:numId w:val="1010"/>
        </w:numPr>
        <w:pStyle w:val="Compact"/>
      </w:pPr>
      <w:r>
        <w:t xml:space="preserve">Road Freight: (0.6 kg / 1000) tonnes * 500 km = 0.3 tkm * 0.1 kgCO2e/tkm = 0.03 kgCO2e.</w:t>
      </w:r>
    </w:p>
    <w:p>
      <w:pPr>
        <w:numPr>
          <w:ilvl w:val="1"/>
          <w:numId w:val="1010"/>
        </w:numPr>
        <w:pStyle w:val="Compact"/>
      </w:pPr>
      <w:r>
        <w:rPr>
          <w:bCs/>
          <w:b/>
        </w:rPr>
        <w:t xml:space="preserve">Illustrative Total:</w:t>
      </w:r>
      <w:r>
        <w:t xml:space="preserve"> </w:t>
      </w:r>
      <w:r>
        <w:t xml:space="preserve">0.12 kgCO2e</w:t>
      </w:r>
    </w:p>
    <w:bookmarkEnd w:id="33"/>
    <w:bookmarkStart w:id="34" w:name="X0196d333647aec5fe808ccff240ca4891e6afb8"/>
    <w:p>
      <w:pPr>
        <w:pStyle w:val="Heading4"/>
      </w:pPr>
      <w:r>
        <w:t xml:space="preserve">Scope 2: Purchased Energy Emissions (Manufacturing)</w:t>
      </w:r>
    </w:p>
    <w:p>
      <w:pPr>
        <w:numPr>
          <w:ilvl w:val="0"/>
          <w:numId w:val="1011"/>
        </w:numPr>
        <w:pStyle w:val="Compact"/>
      </w:pPr>
      <w:r>
        <w:rPr>
          <w:bCs/>
          <w:b/>
        </w:rPr>
        <w:t xml:space="preserve">Energy Consumption:</w:t>
      </w:r>
      <w:r>
        <w:t xml:space="preserve"> </w:t>
      </w:r>
      <w:r>
        <w:t xml:space="preserve">yfvshkvdrj (e.g., 2.0 kWh/unit).</w:t>
      </w:r>
    </w:p>
    <w:p>
      <w:pPr>
        <w:numPr>
          <w:ilvl w:val="0"/>
          <w:numId w:val="1011"/>
        </w:numPr>
        <w:pStyle w:val="Compact"/>
      </w:pPr>
      <w:r>
        <w:rPr>
          <w:bCs/>
          <w:b/>
        </w:rPr>
        <w:t xml:space="preserve">Renewable Energy Usage:</w:t>
      </w:r>
      <w:r>
        <w:t xml:space="preserve"> </w:t>
      </w:r>
      <w:r>
        <w:t xml:space="preserve">ymzigrohum (e.g., 60%).</w:t>
      </w:r>
    </w:p>
    <w:p>
      <w:pPr>
        <w:numPr>
          <w:ilvl w:val="0"/>
          <w:numId w:val="1011"/>
        </w:numPr>
        <w:pStyle w:val="Compact"/>
      </w:pPr>
      <w:r>
        <w:t xml:space="preserve">Non-renewable energy consumption: 2.0 kWh * (1 - 0.60) = 0.8 kWh.</w:t>
      </w:r>
    </w:p>
    <w:p>
      <w:pPr>
        <w:numPr>
          <w:ilvl w:val="0"/>
          <w:numId w:val="1011"/>
        </w:numPr>
        <w:pStyle w:val="Compact"/>
      </w:pPr>
      <w:r>
        <w:t xml:space="preserve">Emissions from non-renewable grid electricity: 0.8 kWh * 0.8 kgCO2e/kWh (China grid factor) = 0.64 kgCO2e.</w:t>
      </w:r>
    </w:p>
    <w:p>
      <w:pPr>
        <w:numPr>
          <w:ilvl w:val="0"/>
          <w:numId w:val="1011"/>
        </w:numPr>
        <w:pStyle w:val="Compact"/>
      </w:pPr>
      <w:r>
        <w:rPr>
          <w:bCs/>
          <w:b/>
        </w:rPr>
        <w:t xml:space="preserve">Illustrative Total:</w:t>
      </w:r>
      <w:r>
        <w:t xml:space="preserve"> </w:t>
      </w:r>
      <w:r>
        <w:t xml:space="preserve">0.64 kgCO2e</w:t>
      </w:r>
    </w:p>
    <w:bookmarkEnd w:id="34"/>
    <w:bookmarkStart w:id="35" w:name="scope-1-direct-emissions-manufacturing"/>
    <w:p>
      <w:pPr>
        <w:pStyle w:val="Heading4"/>
      </w:pPr>
      <w:r>
        <w:t xml:space="preserve">Scope 1: Direct Emissions (Manufacturing)</w:t>
      </w:r>
    </w:p>
    <w:p>
      <w:pPr>
        <w:numPr>
          <w:ilvl w:val="0"/>
          <w:numId w:val="1012"/>
        </w:numPr>
        <w:pStyle w:val="Compact"/>
      </w:pPr>
      <w:r>
        <w:t xml:space="preserve">Assuming minimal direct fuel combustion or fugitive emissions for the production of fpkddkutni within the factory-gate boundary for this illustrative example. If present, these would be quantified here based on specific data.</w:t>
      </w:r>
    </w:p>
    <w:p>
      <w:pPr>
        <w:numPr>
          <w:ilvl w:val="0"/>
          <w:numId w:val="1012"/>
        </w:numPr>
        <w:pStyle w:val="Compact"/>
      </w:pPr>
      <w:r>
        <w:rPr>
          <w:bCs/>
          <w:b/>
        </w:rPr>
        <w:t xml:space="preserve">Illustrative Total:</w:t>
      </w:r>
      <w:r>
        <w:t xml:space="preserve"> </w:t>
      </w:r>
      <w:r>
        <w:t xml:space="preserve">0.00 kgCO2e (Placeholder)</w:t>
      </w:r>
    </w:p>
    <w:bookmarkEnd w:id="35"/>
    <w:bookmarkStart w:id="36" w:name="scope-3-downstream-emissions"/>
    <w:p>
      <w:pPr>
        <w:pStyle w:val="Heading4"/>
      </w:pPr>
      <w:r>
        <w:t xml:space="preserve">Scope 3: Downstream Emissions</w:t>
      </w:r>
    </w:p>
    <w:p>
      <w:pPr>
        <w:numPr>
          <w:ilvl w:val="0"/>
          <w:numId w:val="1013"/>
        </w:numPr>
        <w:pStyle w:val="Compact"/>
      </w:pPr>
      <w:r>
        <w:rPr>
          <w:bCs/>
          <w:b/>
        </w:rPr>
        <w:t xml:space="preserve">Distribution (Last-Mile Delivery):</w:t>
      </w:r>
    </w:p>
    <w:p>
      <w:pPr>
        <w:numPr>
          <w:ilvl w:val="1"/>
          <w:numId w:val="1014"/>
        </w:numPr>
        <w:pStyle w:val="Compact"/>
      </w:pPr>
      <w:r>
        <w:t xml:space="preserve">\'Delivery Type\' (e.g., Parcel Post to the end customer).</w:t>
      </w:r>
    </w:p>
    <w:p>
      <w:pPr>
        <w:numPr>
          <w:ilvl w:val="1"/>
          <w:numId w:val="1014"/>
        </w:numPr>
        <w:pStyle w:val="Compact"/>
      </w:pPr>
      <w:r>
        <w:t xml:space="preserve">Emissions: 0.5 kgCO2e/item (illustrative factor) * 1 unit = 0.50 kgCO2e.</w:t>
      </w:r>
    </w:p>
    <w:p>
      <w:pPr>
        <w:numPr>
          <w:ilvl w:val="1"/>
          <w:numId w:val="1014"/>
        </w:numPr>
        <w:pStyle w:val="Compact"/>
      </w:pPr>
      <w:r>
        <w:rPr>
          <w:bCs/>
          <w:b/>
        </w:rPr>
        <w:t xml:space="preserve">Illustrative Total:</w:t>
      </w:r>
      <w:r>
        <w:t xml:space="preserve"> </w:t>
      </w:r>
      <w:r>
        <w:t xml:space="preserve">0.50 kgCO2e</w:t>
      </w:r>
    </w:p>
    <w:p>
      <w:pPr>
        <w:numPr>
          <w:ilvl w:val="0"/>
          <w:numId w:val="1013"/>
        </w:numPr>
        <w:pStyle w:val="Compact"/>
      </w:pPr>
      <w:r>
        <w:rPr>
          <w:bCs/>
          <w:b/>
        </w:rPr>
        <w:t xml:space="preserve">Use Phase:</w:t>
      </w:r>
    </w:p>
    <w:p>
      <w:pPr>
        <w:numPr>
          <w:ilvl w:val="1"/>
          <w:numId w:val="1015"/>
        </w:numPr>
        <w:pStyle w:val="Compact"/>
      </w:pPr>
      <w:r>
        <w:t xml:space="preserve">\'Product Lifespan\': ukynwtsdkl (e.g., 5 years = 1825 days).</w:t>
      </w:r>
    </w:p>
    <w:p>
      <w:pPr>
        <w:numPr>
          <w:ilvl w:val="1"/>
          <w:numId w:val="1015"/>
        </w:numPr>
        <w:pStyle w:val="Compact"/>
      </w:pPr>
      <w:r>
        <w:t xml:space="preserve">\'Energy Consumption in Use\': xzfmetvkgz (e.g., 0.1 kWh/day).</w:t>
      </w:r>
    </w:p>
    <w:p>
      <w:pPr>
        <w:numPr>
          <w:ilvl w:val="1"/>
          <w:numId w:val="1015"/>
        </w:numPr>
        <w:pStyle w:val="Compact"/>
      </w:pPr>
      <w:r>
        <w:t xml:space="preserve">Total energy consumption over lifespan: 0.1 kWh/day * 1825 days = 182.5 kWh.</w:t>
      </w:r>
    </w:p>
    <w:p>
      <w:pPr>
        <w:numPr>
          <w:ilvl w:val="1"/>
          <w:numId w:val="1015"/>
        </w:numPr>
        <w:pStyle w:val="Compact"/>
      </w:pPr>
      <w:r>
        <w:t xml:space="preserve">Assuming a consumer electricity mix (e.g., global average 0.5 kgCO2e/kWh): 182.5 kWh * 0.5 kgCO2e/kWh = 91.25 kgCO2e.</w:t>
      </w:r>
    </w:p>
    <w:p>
      <w:pPr>
        <w:numPr>
          <w:ilvl w:val="1"/>
          <w:numId w:val="1015"/>
        </w:numPr>
        <w:pStyle w:val="Compact"/>
      </w:pPr>
      <w:r>
        <w:rPr>
          <w:bCs/>
          <w:b/>
        </w:rPr>
        <w:t xml:space="preserve">Illustrative Total:</w:t>
      </w:r>
      <w:r>
        <w:t xml:space="preserve"> </w:t>
      </w:r>
      <w:r>
        <w:t xml:space="preserve">91.25 kgCO2e</w:t>
      </w:r>
    </w:p>
    <w:p>
      <w:pPr>
        <w:numPr>
          <w:ilvl w:val="0"/>
          <w:numId w:val="1013"/>
        </w:numPr>
        <w:pStyle w:val="Compact"/>
      </w:pPr>
      <w:r>
        <w:rPr>
          <w:bCs/>
          <w:b/>
        </w:rPr>
        <w:t xml:space="preserve">End-of-Life (EoL):</w:t>
      </w:r>
    </w:p>
    <w:p>
      <w:pPr>
        <w:numPr>
          <w:ilvl w:val="1"/>
          <w:numId w:val="1016"/>
        </w:numPr>
        <w:pStyle w:val="Compact"/>
      </w:pPr>
      <w:r>
        <w:t xml:space="preserve">\'Recyclability Percentage\': veozzivnfy (e.g., 70%).</w:t>
      </w:r>
    </w:p>
    <w:p>
      <w:pPr>
        <w:numPr>
          <w:ilvl w:val="1"/>
          <w:numId w:val="1016"/>
        </w:numPr>
        <w:pStyle w:val="Compact"/>
      </w:pPr>
      <w:r>
        <w:t xml:space="preserve">Assume total product mass: 0.6 kg (from illustrative BOM).</w:t>
      </w:r>
    </w:p>
    <w:p>
      <w:pPr>
        <w:numPr>
          <w:ilvl w:val="1"/>
          <w:numId w:val="1016"/>
        </w:numPr>
        <w:pStyle w:val="Compact"/>
      </w:pPr>
      <w:r>
        <w:t xml:space="preserve">Mass recycled: 0.6 kg * 0.70 = 0.42 kg.</w:t>
      </w:r>
    </w:p>
    <w:p>
      <w:pPr>
        <w:numPr>
          <w:ilvl w:val="1"/>
          <w:numId w:val="1016"/>
        </w:numPr>
        <w:pStyle w:val="Compact"/>
      </w:pPr>
      <w:r>
        <w:t xml:space="preserve">Avoided emissions from recycling (e.g., plastic): 0.42 kg * -1.5 kgCO2e/kg = -0.63 kgCO2e.</w:t>
      </w:r>
    </w:p>
    <w:p>
      <w:pPr>
        <w:numPr>
          <w:ilvl w:val="1"/>
          <w:numId w:val="1016"/>
        </w:numPr>
        <w:pStyle w:val="Compact"/>
      </w:pPr>
      <w:r>
        <w:t xml:space="preserve">Emissions from incineration/landfill for remaining 30%: 0.6 kg * 0.30 = 0.18 kg. Assume disposal emissions of 0.18 kg * 1.0 kgCO2e/kg = 0.18 kgCO2e.</w:t>
      </w:r>
    </w:p>
    <w:p>
      <w:pPr>
        <w:numPr>
          <w:ilvl w:val="1"/>
          <w:numId w:val="1016"/>
        </w:numPr>
        <w:pStyle w:val="Compact"/>
      </w:pPr>
      <w:r>
        <w:t xml:space="preserve">\'Circular/Take-back Programs\': rifhplnmgi (e.g., Yes). This implies potential for further material recovery or remanufacturing, which would be quantified with specific program data.</w:t>
      </w:r>
    </w:p>
    <w:p>
      <w:pPr>
        <w:numPr>
          <w:ilvl w:val="1"/>
          <w:numId w:val="1016"/>
        </w:numPr>
        <w:pStyle w:val="Compact"/>
      </w:pPr>
      <w:r>
        <w:rPr>
          <w:bCs/>
          <w:b/>
        </w:rPr>
        <w:t xml:space="preserve">Illustrative Total:</w:t>
      </w:r>
      <w:r>
        <w:t xml:space="preserve"> </w:t>
      </w:r>
      <w:r>
        <w:t xml:space="preserve">-0.45 kgCO2e (net emissions)</w:t>
      </w:r>
    </w:p>
    <w:bookmarkEnd w:id="36"/>
    <w:bookmarkEnd w:id="37"/>
    <w:bookmarkStart w:id="38" w:name="X9b435f9006cf04294f943c0bc3e88ac8be6bd1a"/>
    <w:p>
      <w:pPr>
        <w:pStyle w:val="Heading3"/>
      </w:pPr>
      <w:r>
        <w:t xml:space="preserve">4.3. Total Product Carbon Footprint (Illustrative)</w:t>
      </w:r>
    </w:p>
    <w:p>
      <w:pPr>
        <w:pStyle w:val="FirstParagraph"/>
      </w:pPr>
      <w:r>
        <w:t xml:space="preserve">The estimated total Product Carbon Footprint for one functional unit of fpkddkutni, based on the illustrative calculations, is presented below:</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Illustrative CO2e (kgCO2e per unit of fpkddkutni)</w:t>
            </w:r>
          </w:p>
        </w:tc>
      </w:tr>
      <w:tr>
        <w:tc>
          <w:tcPr/>
          <w:p>
            <w:pPr>
              <w:pStyle w:val="Compact"/>
              <w:jc w:val="left"/>
            </w:pPr>
            <w:r>
              <w:rPr>
                <w:bCs/>
                <w:b/>
              </w:rPr>
              <w:t xml:space="preserve">Scope 1: Direct Emissions (Manufacturing)</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0.64</w:t>
            </w:r>
          </w:p>
        </w:tc>
      </w:tr>
      <w:tr>
        <w:tc>
          <w:tcPr/>
          <w:p>
            <w:pPr>
              <w:pStyle w:val="Compact"/>
              <w:jc w:val="left"/>
            </w:pPr>
            <w:r>
              <w:rPr>
                <w:bCs/>
                <w:b/>
              </w:rPr>
              <w:t xml:space="preserve">Scope 3: Upstream Emissions</w:t>
            </w:r>
          </w:p>
        </w:tc>
        <w:tc>
          <w:tcPr/>
          <w:p>
            <w:pPr>
              <w:pStyle w:val="Compact"/>
            </w:pPr>
          </w:p>
        </w:tc>
      </w:tr>
      <w:tr>
        <w:tc>
          <w:tcPr/>
          <w:p>
            <w:pPr>
              <w:pStyle w:val="Compact"/>
              <w:jc w:val="left"/>
            </w:pPr>
            <w:r>
              <w:t xml:space="preserve">• Raw Material Acquisition &amp; Processing</w:t>
            </w:r>
          </w:p>
        </w:tc>
        <w:tc>
          <w:tcPr/>
          <w:p>
            <w:pPr>
              <w:pStyle w:val="Compact"/>
              <w:jc w:val="left"/>
            </w:pPr>
            <w:r>
              <w:t xml:space="preserve">2.85</w:t>
            </w:r>
          </w:p>
        </w:tc>
      </w:tr>
      <w:tr>
        <w:tc>
          <w:tcPr/>
          <w:p>
            <w:pPr>
              <w:pStyle w:val="Compact"/>
              <w:jc w:val="left"/>
            </w:pPr>
            <w:r>
              <w:t xml:space="preserve">• Inbound Transport</w:t>
            </w:r>
          </w:p>
        </w:tc>
        <w:tc>
          <w:tcPr/>
          <w:p>
            <w:pPr>
              <w:pStyle w:val="Compact"/>
              <w:jc w:val="left"/>
            </w:pPr>
            <w:r>
              <w:t xml:space="preserve">0.12</w:t>
            </w:r>
          </w:p>
        </w:tc>
      </w:tr>
      <w:tr>
        <w:tc>
          <w:tcPr/>
          <w:p>
            <w:pPr>
              <w:pStyle w:val="Compact"/>
              <w:jc w:val="left"/>
            </w:pPr>
            <w:r>
              <w:rPr>
                <w:bCs/>
                <w:b/>
              </w:rPr>
              <w:t xml:space="preserve">Scope 3: Downstream Emissions</w:t>
            </w:r>
          </w:p>
        </w:tc>
        <w:tc>
          <w:tcPr/>
          <w:p>
            <w:pPr>
              <w:pStyle w:val="Compact"/>
            </w:pPr>
          </w:p>
        </w:tc>
      </w:tr>
      <w:tr>
        <w:tc>
          <w:tcPr/>
          <w:p>
            <w:pPr>
              <w:pStyle w:val="Compact"/>
              <w:jc w:val="left"/>
            </w:pPr>
            <w:r>
              <w:t xml:space="preserve">• Distribution (Last-Mile)</w:t>
            </w:r>
          </w:p>
        </w:tc>
        <w:tc>
          <w:tcPr/>
          <w:p>
            <w:pPr>
              <w:pStyle w:val="Compact"/>
              <w:jc w:val="left"/>
            </w:pPr>
            <w:r>
              <w:t xml:space="preserve">0.50</w:t>
            </w:r>
          </w:p>
        </w:tc>
      </w:tr>
      <w:tr>
        <w:tc>
          <w:tcPr/>
          <w:p>
            <w:pPr>
              <w:pStyle w:val="Compact"/>
              <w:jc w:val="left"/>
            </w:pPr>
            <w:r>
              <w:t xml:space="preserve">• Use Phase</w:t>
            </w:r>
          </w:p>
        </w:tc>
        <w:tc>
          <w:tcPr/>
          <w:p>
            <w:pPr>
              <w:pStyle w:val="Compact"/>
              <w:jc w:val="left"/>
            </w:pPr>
            <w:r>
              <w:t xml:space="preserve">91.25</w:t>
            </w:r>
          </w:p>
        </w:tc>
      </w:tr>
      <w:tr>
        <w:tc>
          <w:tcPr/>
          <w:p>
            <w:pPr>
              <w:pStyle w:val="Compact"/>
              <w:jc w:val="left"/>
            </w:pPr>
            <w:r>
              <w:t xml:space="preserve">• End-of-Life (Net)</w:t>
            </w:r>
          </w:p>
        </w:tc>
        <w:tc>
          <w:tcPr/>
          <w:p>
            <w:pPr>
              <w:pStyle w:val="Compact"/>
              <w:jc w:val="left"/>
            </w:pPr>
            <w:r>
              <w:t xml:space="preserve">-0.45</w:t>
            </w:r>
          </w:p>
        </w:tc>
      </w:tr>
      <w:tr>
        <w:tc>
          <w:tcPr/>
          <w:p>
            <w:pPr>
              <w:pStyle w:val="Compact"/>
              <w:jc w:val="left"/>
            </w:pPr>
            <w:r>
              <w:t xml:space="preserve">TOTAL PRODUCT CARBON FOOTPRINT</w:t>
            </w:r>
          </w:p>
        </w:tc>
        <w:tc>
          <w:tcPr/>
          <w:p>
            <w:pPr>
              <w:pStyle w:val="Compact"/>
              <w:jc w:val="left"/>
            </w:pPr>
            <w:r>
              <w:t xml:space="preserve">94.86</w:t>
            </w:r>
          </w:p>
        </w:tc>
      </w:tr>
    </w:tbl>
    <w:p>
      <w:pPr>
        <w:pStyle w:val="BodyText"/>
      </w:pPr>
      <w:r>
        <w:rPr>
          <w:iCs/>
          <w:i/>
        </w:rPr>
        <w:t xml:space="preserve">Illustrative PCF: Approximately 94.86 kgCO2e per unit of fpkddkutni.</w:t>
      </w:r>
    </w:p>
    <w:bookmarkEnd w:id="38"/>
    <w:bookmarkStart w:id="39" w:name="Xd6b2af8a920c24b9f0b7e65616e35f7041edff5"/>
    <w:p>
      <w:pPr>
        <w:pStyle w:val="Heading3"/>
      </w:pPr>
      <w:r>
        <w:t xml:space="preserve">4.4. GHG Protocol Scope 3 Compliance and LSR Application</w:t>
      </w:r>
    </w:p>
    <w:p>
      <w:pPr>
        <w:numPr>
          <w:ilvl w:val="0"/>
          <w:numId w:val="1017"/>
        </w:numPr>
        <w:pStyle w:val="Compact"/>
      </w:pPr>
      <w:r>
        <w:t xml:space="preserve">The analysis demonstrates a robust framework for achieving</w:t>
      </w:r>
      <w:r>
        <w:t xml:space="preserve"> </w:t>
      </w:r>
      <w:r>
        <w:rPr>
          <w:bCs/>
          <w:b/>
        </w:rPr>
        <w:t xml:space="preserve">95% Scope 3 coverage</w:t>
      </w:r>
      <w:r>
        <w:t xml:space="preserve">, incorporating significant upstream and downstream categories. Continuous data collection and engagement with suppliers and consumers will be essential to validate and improve this coverage to meet the 2026 requirements.</w:t>
      </w:r>
    </w:p>
    <w:p>
      <w:pPr>
        <w:numPr>
          <w:ilvl w:val="0"/>
          <w:numId w:val="1017"/>
        </w:numPr>
        <w:pStyle w:val="Compact"/>
      </w:pPr>
      <w:r>
        <w:t xml:space="preserve">The</w:t>
      </w:r>
      <w:r>
        <w:t xml:space="preserve"> </w:t>
      </w:r>
      <w:r>
        <w:rPr>
          <w:bCs/>
          <w:b/>
        </w:rPr>
        <w:t xml:space="preserve">Land Sector and Removals (LSR) Standard</w:t>
      </w:r>
      <w:r>
        <w:t xml:space="preserve"> </w:t>
      </w:r>
      <w:r>
        <w:t xml:space="preserve">would be specifically applied to quantify emissions and removals related to any land-based materials (e.g., wood, cotton, bio-based plastics) within fpkddkutni\'s BOM, or land-use changes attributable to its supply chain. While not explicitly calculated in this illustrative report due to generic material assumptions, the methodology accounts for its integration with specific biogenic carbon data.</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illustrative calculations, the dominant emission hotspot for fpkddkutni is the</w:t>
      </w:r>
      <w:r>
        <w:t xml:space="preserve"> </w:t>
      </w:r>
      <w:r>
        <w:rPr>
          <w:bCs/>
          <w:b/>
        </w:rPr>
        <w:t xml:space="preserve">Use Phase</w:t>
      </w:r>
      <w:r>
        <w:t xml:space="preserve">, accounting for over 96% of the total Product Carbon Footprint. This highlights the critical impact of product energy consumption during its active service life. Other significant contributors include Raw Material Acquisition &amp; Processing and Manufacturing Energy.</w:t>
      </w:r>
    </w:p>
    <w:p>
      <w:pPr>
        <w:numPr>
          <w:ilvl w:val="0"/>
          <w:numId w:val="1018"/>
        </w:numPr>
        <w:pStyle w:val="Compact"/>
      </w:pPr>
      <w:r>
        <w:rPr>
          <w:bCs/>
          <w:b/>
        </w:rPr>
        <w:t xml:space="preserve">Use Phase (96.2%):</w:t>
      </w:r>
      <w:r>
        <w:t xml:space="preserve"> </w:t>
      </w:r>
      <w:r>
        <w:t xml:space="preserve">Represents the most substantial portion of the PCF due to the product\'s lifespan (ukynwtsdkl) and energy consumption during operation (xzfmetvkgz).</w:t>
      </w:r>
    </w:p>
    <w:p>
      <w:pPr>
        <w:numPr>
          <w:ilvl w:val="0"/>
          <w:numId w:val="1018"/>
        </w:numPr>
        <w:pStyle w:val="Compact"/>
      </w:pPr>
      <w:r>
        <w:rPr>
          <w:bCs/>
          <w:b/>
        </w:rPr>
        <w:t xml:space="preserve">Raw Material Acquisition &amp; Processing (3.0%):</w:t>
      </w:r>
      <w:r>
        <w:t xml:space="preserve"> </w:t>
      </w:r>
      <w:r>
        <w:t xml:space="preserve">Significant due to the embodied emissions in components, emphasizing the importance of sustainable sourcing and material selection (guided by \'tggvlvzg\').</w:t>
      </w:r>
    </w:p>
    <w:p>
      <w:pPr>
        <w:numPr>
          <w:ilvl w:val="0"/>
          <w:numId w:val="1018"/>
        </w:numPr>
        <w:pStyle w:val="Compact"/>
      </w:pPr>
      <w:r>
        <w:rPr>
          <w:bCs/>
          <w:b/>
        </w:rPr>
        <w:t xml:space="preserve">Manufacturing (Scope 2, 0.7%):</w:t>
      </w:r>
      <w:r>
        <w:t xml:space="preserve"> </w:t>
      </w:r>
      <w:r>
        <w:t xml:space="preserve">Contributes through purchased electricity (yfvshkvdrj) for production, albeit mitigated by renewable energy usage (ymzigrohum).</w:t>
      </w:r>
    </w:p>
    <w:p>
      <w:pPr>
        <w:numPr>
          <w:ilvl w:val="0"/>
          <w:numId w:val="1018"/>
        </w:numPr>
        <w:pStyle w:val="Compact"/>
      </w:pPr>
      <w:r>
        <w:rPr>
          <w:bCs/>
          <w:b/>
        </w:rPr>
        <w:t xml:space="preserve">Logistics (Inbound &amp; Last-Mile, 0.6%):</w:t>
      </w:r>
      <w:r>
        <w:t xml:space="preserve"> </w:t>
      </w:r>
      <w:r>
        <w:t xml:space="preserve">While smaller, still offers opportunities for optimization in transport modes (Select Mode), distances (wegnxenjjt), and delivery channels (Delivery Type).</w:t>
      </w:r>
    </w:p>
    <w:p>
      <w:pPr>
        <w:numPr>
          <w:ilvl w:val="0"/>
          <w:numId w:val="1018"/>
        </w:numPr>
        <w:pStyle w:val="Compact"/>
      </w:pPr>
      <w:r>
        <w:rPr>
          <w:bCs/>
          <w:b/>
        </w:rPr>
        <w:t xml:space="preserve">End-of-Life (-0.5%):</w:t>
      </w:r>
      <w:r>
        <w:t xml:space="preserve"> </w:t>
      </w:r>
      <w:r>
        <w:t xml:space="preserve">Shows a net credit, indicating that current recyclability (veozzivnfy) and circular programs (rifhplnmgi) effectively mitigate some emissions, though disposal emissions still exist for unrecycled portions.</w:t>
      </w:r>
    </w:p>
    <w:bookmarkEnd w:id="41"/>
    <w:bookmarkStart w:id="42" w:name="data-reliability-and-recommendations"/>
    <w:p>
      <w:pPr>
        <w:pStyle w:val="Heading3"/>
      </w:pPr>
      <w:r>
        <w:t xml:space="preserve">5.2. Data Reliability and Recommendations</w:t>
      </w:r>
    </w:p>
    <w:p>
      <w:pPr>
        <w:pStyle w:val="FirstParagraph"/>
      </w:pPr>
      <w:r>
        <w:t xml:space="preserve">The reliability of this PCF assessment is directly linked to the quality, accuracy, and completeness of the underlying activity data and emission factors. For future, more definitive assessments and continuous improvement:</w:t>
      </w:r>
    </w:p>
    <w:p>
      <w:pPr>
        <w:numPr>
          <w:ilvl w:val="0"/>
          <w:numId w:val="1019"/>
        </w:numPr>
        <w:pStyle w:val="Compact"/>
      </w:pPr>
      <w:r>
        <w:rPr>
          <w:bCs/>
          <w:b/>
        </w:rPr>
        <w:t xml:space="preserve">Primary Data Collection Enhancement:</w:t>
      </w:r>
      <w:r>
        <w:t xml:space="preserve"> </w:t>
      </w:r>
      <w:r>
        <w:t xml:space="preserve">Prioritize gathering high-quality primary data from direct operations and suppliers for the most impactful stages, especially for actual energy consumption (yfvshkvdrj, ymzigrohum) and specific emission factors for raw materials (from \'tggvlvzg\') and components.</w:t>
      </w:r>
    </w:p>
    <w:p>
      <w:pPr>
        <w:numPr>
          <w:ilvl w:val="0"/>
          <w:numId w:val="1019"/>
        </w:numPr>
        <w:pStyle w:val="Compact"/>
      </w:pPr>
      <w:r>
        <w:rPr>
          <w:bCs/>
          <w:b/>
        </w:rPr>
        <w:t xml:space="preserve">Use Phase Optimization Strategies:</w:t>
      </w:r>
      <w:r>
        <w:t xml:space="preserve"> </w:t>
      </w:r>
      <w:r>
        <w:t xml:space="preserve">Develop and implement strategies to significantly reduce energy consumption during the product\'s use phase (xzfmetvkgz). This could involve energy-efficient design, software optimization, and consumer education campaigns to promote responsible usage. Extending product lifespan (ukynwtsdkl) also dilutes the per-year footprint.</w:t>
      </w:r>
    </w:p>
    <w:p>
      <w:pPr>
        <w:numPr>
          <w:ilvl w:val="0"/>
          <w:numId w:val="1019"/>
        </w:numPr>
        <w:pStyle w:val="Compact"/>
      </w:pPr>
      <w:r>
        <w:rPr>
          <w:bCs/>
          <w:b/>
        </w:rPr>
        <w:t xml:space="preserve">Sustainable Material Sourcing:</w:t>
      </w:r>
      <w:r>
        <w:t xml:space="preserve"> </w:t>
      </w:r>
      <w:r>
        <w:t xml:space="preserve">Continuously explore and integrate lower-carbon alternative materials. Work collaboratively with suppliers to obtain specific, verified emission factors for all components detailed in the BOM (\'tggvlvzg\'). Further leverage and expand existing circular programs (rifhplnmgi) to maximize material recovery and re-incorporation into new products.</w:t>
      </w:r>
    </w:p>
    <w:p>
      <w:pPr>
        <w:numPr>
          <w:ilvl w:val="0"/>
          <w:numId w:val="1019"/>
        </w:numPr>
        <w:pStyle w:val="Compact"/>
      </w:pPr>
      <w:r>
        <w:rPr>
          <w:bCs/>
          <w:b/>
        </w:rPr>
        <w:t xml:space="preserve">Logistics Efficiency Improvements:</w:t>
      </w:r>
      <w:r>
        <w:t xml:space="preserve"> </w:t>
      </w:r>
      <w:r>
        <w:t xml:space="preserve">Optimize transport routes, modes (\'Select Mode\'), and load factors for both inbound (wegnxenjjt) and outbound (Delivery Type) logistics. Consider electrifying delivery fleets or shifting to lower-emission transport options where feasible.</w:t>
      </w:r>
    </w:p>
    <w:p>
      <w:pPr>
        <w:numPr>
          <w:ilvl w:val="0"/>
          <w:numId w:val="1019"/>
        </w:numPr>
        <w:pStyle w:val="Compact"/>
      </w:pPr>
      <w:r>
        <w:rPr>
          <w:bCs/>
          <w:b/>
        </w:rPr>
        <w:t xml:space="preserve">Full LSR Integration:</w:t>
      </w:r>
      <w:r>
        <w:t xml:space="preserve"> </w:t>
      </w:r>
      <w:r>
        <w:t xml:space="preserve">For future reports, if applicable, gather specific data to fully integrate the Land Sector and Removals Standard, particularly for any bio-based materials, to ensure accurate accounting of biogenic carbon flows.</w:t>
      </w:r>
    </w:p>
    <w:p>
      <w:pPr>
        <w:numPr>
          <w:ilvl w:val="0"/>
          <w:numId w:val="1019"/>
        </w:numPr>
        <w:pStyle w:val="Compact"/>
      </w:pPr>
      <w:r>
        <w:rPr>
          <w:bCs/>
          <w:b/>
        </w:rPr>
        <w:t xml:space="preserve">Expanded Life Cycle Assessment (LCA):</w:t>
      </w:r>
      <w:r>
        <w:t xml:space="preserve"> </w:t>
      </w:r>
      <w:r>
        <w:t xml:space="preserve">Consider expanding this PCF into a full Life Cycle Assessment to include a broader range of environmental impacts beyond carbon, such as water usage, waste generation, and ecotoxicity, for a holistic sustainability profile.</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This Product Carbon Footprint analysis for fpkddkutni by fhvomplmru, expertly conducted by ftswszhqfr, provides a critical foundational understanding of its environmental impact under the rigorous GHG Protocol.</w:t>
      </w:r>
      <w:r>
        <w:t xml:space="preserve"> </w:t>
      </w:r>
      <w:r>
        <w:t xml:space="preserve">The significant contribution of the use phase unequivocally highlights a key area for strategic intervention and innovation.</w:t>
      </w:r>
      <w:r>
        <w:t xml:space="preserve"> </w:t>
      </w:r>
      <w:r>
        <w:t xml:space="preserve">By diligently addressing these identified hotspots through enhanced data collection, design optimizations, and supply chain engagement, fhvomplmru can substantially reduce the environmental footprint of fpkddkutni. This proactive approach will not only align with the company\'s sustainability objectives but also reinforce its leadership in responsible product stewardship within the industry.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fpkddkutni</dc:title>
  <dc:creator/>
  <dc:description>Detailed Product Carbon Footprint (PCF) analysis report for fpkddkutni by fhvomplmru, following GHG Protocol standards, including the 2026 LSR update.</dc:description>
  <cp:keywords/>
  <dcterms:created xsi:type="dcterms:W3CDTF">2026-05-30T18:30:15Z</dcterms:created>
  <dcterms:modified xsi:type="dcterms:W3CDTF">2026-05-30T18:30:15Z</dcterms:modified>
</cp:coreProperties>
</file>

<file path=docProps/custom.xml><?xml version="1.0" encoding="utf-8"?>
<Properties xmlns="http://schemas.openxmlformats.org/officeDocument/2006/custom-properties" xmlns:vt="http://schemas.openxmlformats.org/officeDocument/2006/docPropsVTypes"/>
</file>