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fpirtkgyhm</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fpirtkgyhm</w:t>
      </w:r>
    </w:p>
    <w:p>
      <w:pPr>
        <w:pStyle w:val="BodyText"/>
      </w:pPr>
      <w:r>
        <w:t xml:space="preserve">Company:</w:t>
      </w:r>
      <w:r>
        <w:t xml:space="preserve"> </w:t>
      </w:r>
      <w:r>
        <w:rPr>
          <w:bCs/>
          <w:b/>
        </w:rPr>
        <w:t xml:space="preserve">tpnpoywvnz</w:t>
      </w:r>
    </w:p>
    <w:p>
      <w:pPr>
        <w:pStyle w:val="BodyText"/>
      </w:pPr>
      <w:r>
        <w:t xml:space="preserve">Senior Sustainability Consultant:</w:t>
      </w:r>
      <w:r>
        <w:t xml:space="preserve"> </w:t>
      </w:r>
      <w:r>
        <w:rPr>
          <w:bCs/>
          <w:b/>
        </w:rPr>
        <w:t xml:space="preserve">kxnfpxuoxm</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further data availability.</w:t>
      </w:r>
    </w:p>
    <w:bookmarkEnd w:id="20"/>
    <w:bookmarkStart w:id="21" w:name="Xf4e38f57d9ae168ae75ecaa3d099ed97688a709"/>
    <w:p>
      <w:pPr>
        <w:pStyle w:val="Heading1"/>
      </w:pPr>
      <w:r>
        <w:t xml:space="preserve">Product Carbon Footprint Report for fpirtkgyhm</w:t>
      </w:r>
    </w:p>
    <w:p>
      <w:pPr>
        <w:pStyle w:val="FirstParagraph"/>
      </w:pPr>
      <w:r>
        <w:rPr>
          <w:bCs/>
          <w:b/>
        </w:rPr>
        <w:t xml:space="preserve">Generated Date:</w:t>
      </w:r>
      <w:r>
        <w:t xml:space="preserve"> </w:t>
      </w:r>
      <w:r>
        <w:t xml:space="preserve">May 20, 2026</w:t>
      </w:r>
    </w:p>
    <w:p>
      <w:pPr>
        <w:pStyle w:val="BodyText"/>
      </w:pPr>
      <w:r>
        <w:rPr>
          <w:bCs/>
          <w:b/>
        </w:rPr>
        <w:t xml:space="preserve">Prepared for:</w:t>
      </w:r>
      <w:r>
        <w:t xml:space="preserve"> </w:t>
      </w:r>
      <w:r>
        <w:t xml:space="preserve">tpnpoywvnz</w:t>
      </w:r>
    </w:p>
    <w:p>
      <w:pPr>
        <w:pStyle w:val="BodyText"/>
      </w:pPr>
      <w:r>
        <w:rPr>
          <w:bCs/>
          <w:b/>
        </w:rPr>
        <w:t xml:space="preserve">Prepared by:</w:t>
      </w:r>
      <w:r>
        <w:t xml:space="preserve"> </w:t>
      </w:r>
      <w:r>
        <w:t xml:space="preserve">kxnfpxuoxm,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fpirtkgyhm</w:t>
      </w:r>
      <w:r>
        <w:t xml:space="preserve">, manufactured by</w:t>
      </w:r>
      <w:r>
        <w:t xml:space="preserve"> </w:t>
      </w:r>
      <w:r>
        <w:rPr>
          <w:bCs/>
          <w:b/>
        </w:rPr>
        <w:t xml:space="preserve">tpnpoywvnz</w:t>
      </w:r>
      <w:r>
        <w:t xml:space="preserve">. Conducted by Senior Sustainability Consultant</w:t>
      </w:r>
      <w:r>
        <w:t xml:space="preserve"> </w:t>
      </w:r>
      <w:r>
        <w:rPr>
          <w:bCs/>
          <w:b/>
        </w:rPr>
        <w:t xml:space="preserve">kxnfpxuoxm</w:t>
      </w:r>
      <w:r>
        <w:t xml:space="preserve">, this analysis adheres strictly to the GHG Protocol, incorporating the latest 2026 Land Sector and Removals (LSR) Standard updates and stringent Scope 3 compliance requirements. The PCF quantifies the total greenhouse gas (GHG) emissions associated with the product across its entire lifecycle, from raw material extraction through manufacturing, distribution, use, and end-of-life. Key emissions hotspots have been identified to inform strategic decarbonization efforts and enhance the product\'s environmental performance.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fpirtkgyhm</w:t>
      </w:r>
      <w:r>
        <w:t xml:space="preserve"> </w:t>
      </w:r>
      <w:r>
        <w:t xml:space="preserve">was conducted following the Greenhouse Gas (GHG) Protocol Product Life Cycle Accounting and Reporting Standard. This methodology ensures a robust, transparent, and comprehensive assessment of GHG emissions.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fpirtkgyhm</w:t>
      </w:r>
      <w:r>
        <w:t xml:space="preserve">, providing a consistent basis for quantification and comparison.</w:t>
      </w:r>
    </w:p>
    <w:p>
      <w:pPr>
        <w:numPr>
          <w:ilvl w:val="0"/>
          <w:numId w:val="1001"/>
        </w:numPr>
        <w:pStyle w:val="Compact"/>
      </w:pPr>
      <w:r>
        <w:rPr>
          <w:bCs/>
          <w:b/>
        </w:rPr>
        <w:t xml:space="preserve">System Boundary:</w:t>
      </w:r>
      <w:r>
        <w:t xml:space="preserve"> </w:t>
      </w:r>
      <w:r>
        <w:t xml:space="preserve">The analysis adopts a "Cradle-to-Grave" system boundary. While the primary production system boundary is "factory_gate" for upstream and manufacturing, the scope has been explicitly extended to include downstream emissions from the Use Phase and End-of-Life (EoL) scenarios, as requested. This comprehensive approach ensures all significant lifecycle stages are considered.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distribution and use phase assumptions)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vehicles carrying multiple products), emissions are allocated based on mass and distance where appropriate. Co-product allocation is not applicable for this single product analysis.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fpirtkgyhm</w:t>
      </w:r>
      <w:r>
        <w:t xml:space="preserve"> </w:t>
      </w:r>
      <w:r>
        <w:t xml:space="preserve">has been mapped into the following stages, in line with the GHG Protocol:</w:t>
      </w:r>
    </w:p>
    <w:p>
      <w:pPr>
        <w:numPr>
          <w:ilvl w:val="0"/>
          <w:numId w:val="1003"/>
        </w:numPr>
        <w:pStyle w:val="Compact"/>
      </w:pPr>
      <w:r>
        <w:rPr>
          <w:bCs/>
          <w:b/>
        </w:rPr>
        <w:t xml:space="preserve">Raw Material Acquisition &amp; Pre-processing (Upstream):</w:t>
      </w:r>
      <w:r>
        <w:t xml:space="preserve"> </w:t>
      </w:r>
      <w:r>
        <w:t xml:space="preserve">Extraction, processing, and manufacturing of all materials listed in the Bill of Materials (BOM), including related upstream transport to the production facility in China.</w:t>
      </w:r>
    </w:p>
    <w:p>
      <w:pPr>
        <w:numPr>
          <w:ilvl w:val="0"/>
          <w:numId w:val="1003"/>
        </w:numPr>
        <w:pStyle w:val="Compact"/>
      </w:pPr>
      <w:r>
        <w:rPr>
          <w:bCs/>
          <w:b/>
        </w:rPr>
        <w:t xml:space="preserve">Manufacturing (Core Production):</w:t>
      </w:r>
      <w:r>
        <w:t xml:space="preserve"> </w:t>
      </w:r>
      <w:r>
        <w:t xml:space="preserve">Energy consumption and waste generation during the assembly and production of</w:t>
      </w:r>
      <w:r>
        <w:t xml:space="preserve"> </w:t>
      </w:r>
      <w:r>
        <w:rPr>
          <w:bCs/>
          <w:b/>
        </w:rPr>
        <w:t xml:space="preserve">fpirtkgyhm</w:t>
      </w:r>
      <w:r>
        <w:t xml:space="preserve"> </w:t>
      </w:r>
      <w:r>
        <w:t xml:space="preserve">in China. This includes direct (Scope 1) and indirect (Scope 2) emissions.</w:t>
      </w:r>
    </w:p>
    <w:p>
      <w:pPr>
        <w:numPr>
          <w:ilvl w:val="0"/>
          <w:numId w:val="1003"/>
        </w:numPr>
        <w:pStyle w:val="Compact"/>
      </w:pPr>
      <w:r>
        <w:rPr>
          <w:bCs/>
          <w:b/>
        </w:rPr>
        <w:t xml:space="preserve">Distribution &amp; Storage:</w:t>
      </w:r>
      <w:r>
        <w:t xml:space="preserve"> </w:t>
      </w:r>
      <w:r>
        <w:t xml:space="preserve">Transportation of the finished product from the factory gate in China to the customer in Europe, including last-mile delivery.</w:t>
      </w:r>
    </w:p>
    <w:p>
      <w:pPr>
        <w:numPr>
          <w:ilvl w:val="0"/>
          <w:numId w:val="1003"/>
        </w:numPr>
        <w:pStyle w:val="Compact"/>
      </w:pPr>
      <w:r>
        <w:rPr>
          <w:bCs/>
          <w:b/>
        </w:rPr>
        <w:t xml:space="preserve">Use Phase:</w:t>
      </w:r>
      <w:r>
        <w:t xml:space="preserve"> </w:t>
      </w:r>
      <w:r>
        <w:t xml:space="preserve">Energy consumption by the product during its operational lifespan of</w:t>
      </w:r>
      <w:r>
        <w:t xml:space="preserve"> </w:t>
      </w:r>
      <w:r>
        <w:rPr>
          <w:bCs/>
          <w:b/>
        </w:rPr>
        <w:t xml:space="preserve">riqveddvmd</w:t>
      </w:r>
      <w:r>
        <w:t xml:space="preserve"> </w:t>
      </w:r>
      <w:r>
        <w:t xml:space="preserve">(5 years) by the end-user.</w:t>
      </w:r>
    </w:p>
    <w:p>
      <w:pPr>
        <w:numPr>
          <w:ilvl w:val="0"/>
          <w:numId w:val="1003"/>
        </w:numPr>
        <w:pStyle w:val="Compact"/>
      </w:pPr>
      <w:r>
        <w:rPr>
          <w:bCs/>
          <w:b/>
        </w:rPr>
        <w:t xml:space="preserve">End-of-Life (EoL):</w:t>
      </w:r>
      <w:r>
        <w:t xml:space="preserve"> </w:t>
      </w:r>
      <w:r>
        <w:t xml:space="preserve">Emissions associated with the disposal or recycling of the product at the end of its useful life.</w:t>
      </w:r>
    </w:p>
    <w:bookmarkEnd w:id="24"/>
    <w:bookmarkStart w:id="25" w:name="collect-data"/>
    <w:p>
      <w:pPr>
        <w:pStyle w:val="Heading3"/>
      </w:pPr>
      <w:r>
        <w:t xml:space="preserve">1.3. Collect Data</w:t>
      </w:r>
    </w:p>
    <w:p>
      <w:pPr>
        <w:pStyle w:val="FirstParagraph"/>
      </w:pPr>
      <w:r>
        <w:t xml:space="preserve">Both primary and secondary data points were collected for this analysis. The detailed Bill of Materials (BOM) provides specific primary data for material inputs. For other lifecycle stages, industry-average emission factors were utilized where primary data was unavailable. In line with the 2026 GHG Protocol Scope 3 revisions, efforts were made to disaggregate data by source type, prioritizing primary data where possible and acknowledging secondary data sources.</w:t>
      </w:r>
    </w:p>
    <w:bookmarkEnd w:id="25"/>
    <w:bookmarkStart w:id="26" w:name="calculate-emissions"/>
    <w:p>
      <w:pPr>
        <w:pStyle w:val="Heading3"/>
      </w:pPr>
      <w:r>
        <w:t xml:space="preserve">1.4. Calculate Emissions</w:t>
      </w:r>
    </w:p>
    <w:p>
      <w:pPr>
        <w:pStyle w:val="FirstParagraph"/>
      </w:pPr>
      <w:r>
        <w:t xml:space="preserve">Emissions were calculated using the formula: Activity Data × Emission Factor = CO</w:t>
      </w:r>
      <w:r>
        <w:rPr>
          <w:vertAlign w:val="subscript"/>
        </w:rPr>
        <w:t xml:space="preserve">2</w:t>
      </w:r>
      <w:r>
        <w:t xml:space="preserve">e. Industry-standard emission factors, primarily sourced from publicly available databases (such as those referenced by DEFRA and Ecoinvent where applicable), were applied. All GHG emissions are reported in carbon dioxide equivalents (CO</w:t>
      </w:r>
      <w:r>
        <w:rPr>
          <w:vertAlign w:val="subscript"/>
        </w:rPr>
        <w:t xml:space="preserve">2</w:t>
      </w:r>
      <w:r>
        <w:t xml:space="preserve">e).</w:t>
      </w:r>
    </w:p>
    <w:bookmarkEnd w:id="26"/>
    <w:bookmarkStart w:id="27" w:name="review-report"/>
    <w:p>
      <w:pPr>
        <w:pStyle w:val="Heading3"/>
      </w:pPr>
      <w:r>
        <w:t xml:space="preserve">1.5. Review &amp; Report</w:t>
      </w:r>
    </w:p>
    <w:p>
      <w:pPr>
        <w:pStyle w:val="FirstParagraph"/>
      </w:pPr>
      <w:r>
        <w:t xml:space="preserve">The results were reviewed to identify emission hotspots, assess data reliability, and formulate actionable recommendations. The report aims for transparency and comprehensiveness, detailing assumptions and data sources.</w:t>
      </w:r>
    </w:p>
    <w:p>
      <w:r>
        <w:pict>
          <v:rect style="width:0;height:1.5pt" o:hralign="center" o:hrstd="t" o:hr="t"/>
        </w:pict>
      </w:r>
    </w:p>
    <w:bookmarkEnd w:id="27"/>
    <w:bookmarkEnd w:id="28"/>
    <w:bookmarkStart w:id="34" w:name="Xee2019176d610e16783ee7e829a80e91ebcf1e6"/>
    <w:p>
      <w:pPr>
        <w:pStyle w:val="Heading2"/>
      </w:pPr>
      <w:r>
        <w:t xml:space="preserve">2. Detailed Data Inputs and Inventory Analysis</w:t>
      </w:r>
    </w:p>
    <w:bookmarkStart w:id="29" w:name="Xcefb3b2faf836cf85f6e528646f40dfae0559ee"/>
    <w:p>
      <w:pPr>
        <w:pStyle w:val="Heading3"/>
      </w:pPr>
      <w:r>
        <w:t xml:space="preserve">2.1. Detailed Bill of Materials (BOM) for fpirtkgyhm</w:t>
      </w:r>
    </w:p>
    <w:p>
      <w:pPr>
        <w:pStyle w:val="FirstParagraph"/>
      </w:pPr>
      <w:r>
        <w:t xml:space="preserve">The following Bill of Materials (BOM) was used for high-accuracy material impact calculation. The "Total Carbon" values provided in the BOM are directly incorporated into the calculations as specified.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Copper Wiring</w:t>
            </w:r>
          </w:p>
        </w:tc>
        <w:tc>
          <w:tcPr/>
          <w:p>
            <w:pPr>
              <w:pStyle w:val="Compact"/>
              <w:jc w:val="left"/>
            </w:pPr>
            <w:r>
              <w:t xml:space="preserve">Electronics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E004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E005</w:t>
            </w:r>
          </w:p>
        </w:tc>
        <w:tc>
          <w:tcPr/>
          <w:p>
            <w:pPr>
              <w:pStyle w:val="Compact"/>
              <w:jc w:val="left"/>
            </w:pPr>
            <w:r>
              <w:t xml:space="preserve">Integrated Circuits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C006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Recycled Pulp</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Mass:</w:t>
            </w:r>
          </w:p>
        </w:tc>
        <w:tc>
          <w:tcPr/>
          <w:p>
            <w:pPr>
              <w:pStyle w:val="Compact"/>
              <w:jc w:val="left"/>
            </w:pPr>
            <w:r>
              <w:rPr>
                <w:bCs/>
                <w:b/>
              </w:rPr>
              <w:t xml:space="preserve">1.2 kg</w:t>
            </w:r>
          </w:p>
        </w:tc>
      </w:tr>
      <w:tr>
        <w:tc>
          <w:tcPr>
            <w:gridSpan w:val="7"/>
          </w:tcPr>
          <w:p>
            <w:pPr>
              <w:pStyle w:val="Compact"/>
              <w:jc w:val="right"/>
            </w:pPr>
            <w:r>
              <w:rPr>
                <w:bCs/>
                <w:b/>
              </w:rPr>
              <w:t xml:space="preserve">Total Upstream Material Emissions (Scope 3, Category 1):</w:t>
            </w:r>
          </w:p>
        </w:tc>
        <w:tc>
          <w:tcPr/>
          <w:p>
            <w:pPr>
              <w:pStyle w:val="Compact"/>
              <w:jc w:val="left"/>
            </w:pPr>
            <w:r>
              <w:rPr>
                <w:bCs/>
                <w:b/>
              </w:rPr>
              <w:t xml:space="preserve">6.97 kg CO2e</w:t>
            </w:r>
          </w:p>
        </w:tc>
      </w:tr>
    </w:tbl>
    <w:bookmarkEnd w:id="29"/>
    <w:bookmarkStart w:id="30" w:name="production-phase-energy-inputs"/>
    <w:p>
      <w:pPr>
        <w:pStyle w:val="Heading3"/>
      </w:pPr>
      <w:r>
        <w:t xml:space="preserve">2.2. Production Phase Energy Inputs</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Portion:</w:t>
      </w:r>
      <w:r>
        <w:t xml:space="preserve"> </w:t>
      </w:r>
      <w:r>
        <w:t xml:space="preserve">15 kWh/unit * (1 - 0.50) = 7.5 kWh/unit</w:t>
      </w:r>
    </w:p>
    <w:p>
      <w:pPr>
        <w:numPr>
          <w:ilvl w:val="0"/>
          <w:numId w:val="1004"/>
        </w:numPr>
        <w:pStyle w:val="Compact"/>
      </w:pPr>
      <w:r>
        <w:rPr>
          <w:bCs/>
          <w:b/>
        </w:rPr>
        <w:t xml:space="preserve">Production Country Grid Mix Emission Factor (China):</w:t>
      </w:r>
      <w:r>
        <w:t xml:space="preserve"> </w:t>
      </w:r>
      <w:r>
        <w:t xml:space="preserve">0.6205 kg CO2e/kWh</w:t>
      </w:r>
    </w:p>
    <w:bookmarkEnd w:id="30"/>
    <w:bookmarkStart w:id="31" w:name="logistics-data"/>
    <w:p>
      <w:pPr>
        <w:pStyle w:val="Heading3"/>
      </w:pPr>
      <w:r>
        <w:t xml:space="preserve">2.3. Logistics Data</w:t>
      </w:r>
    </w:p>
    <w:p>
      <w:pPr>
        <w:numPr>
          <w:ilvl w:val="0"/>
          <w:numId w:val="1005"/>
        </w:numPr>
        <w:pStyle w:val="Compact"/>
      </w:pPr>
      <w:r>
        <w:rPr>
          <w:bCs/>
          <w:b/>
        </w:rPr>
        <w:t xml:space="preserve">Primary Transport Mode (Factory to Distribution Hub):</w:t>
      </w:r>
      <w:r>
        <w:t xml:space="preserve"> </w:t>
      </w:r>
      <w:r>
        <w:t xml:space="preserve">Ocean Freight</w:t>
      </w:r>
    </w:p>
    <w:p>
      <w:pPr>
        <w:numPr>
          <w:ilvl w:val="0"/>
          <w:numId w:val="1005"/>
        </w:numPr>
        <w:pStyle w:val="Compact"/>
      </w:pPr>
      <w:r>
        <w:rPr>
          <w:bCs/>
          <w:b/>
        </w:rPr>
        <w:t xml:space="preserve">Primary Transport Distance:</w:t>
      </w:r>
      <w:r>
        <w:t xml:space="preserve"> </w:t>
      </w:r>
      <w:r>
        <w:t xml:space="preserve">10,000 km (Assumed for initial transport from China to Europe, representing \'sfyrqpmyex\')</w:t>
      </w:r>
    </w:p>
    <w:p>
      <w:pPr>
        <w:numPr>
          <w:ilvl w:val="0"/>
          <w:numId w:val="1005"/>
        </w:numPr>
        <w:pStyle w:val="Compact"/>
      </w:pPr>
      <w:r>
        <w:rPr>
          <w:bCs/>
          <w:b/>
        </w:rPr>
        <w:t xml:space="preserve">Ocean Freight Emission Factor:</w:t>
      </w:r>
      <w:r>
        <w:t xml:space="preserve"> </w:t>
      </w:r>
      <w:r>
        <w:t xml:space="preserve">0.016 kg CO2e/tonne-km</w:t>
      </w:r>
    </w:p>
    <w:p>
      <w:pPr>
        <w:numPr>
          <w:ilvl w:val="0"/>
          <w:numId w:val="1005"/>
        </w:numPr>
        <w:pStyle w:val="Compact"/>
      </w:pPr>
      <w:r>
        <w:rPr>
          <w:bCs/>
          <w:b/>
        </w:rPr>
        <w:t xml:space="preserve">Last-Mile Delivery Channel:</w:t>
      </w:r>
      <w:r>
        <w:t xml:space="preserve"> </w:t>
      </w:r>
      <w:r>
        <w:t xml:space="preserve">Road Freight (Van)</w:t>
      </w:r>
    </w:p>
    <w:p>
      <w:pPr>
        <w:numPr>
          <w:ilvl w:val="0"/>
          <w:numId w:val="1005"/>
        </w:numPr>
        <w:pStyle w:val="Compact"/>
      </w:pPr>
      <w:r>
        <w:rPr>
          <w:bCs/>
          <w:b/>
        </w:rPr>
        <w:t xml:space="preserve">Last-Mile Delivery Distance:</w:t>
      </w:r>
      <w:r>
        <w:t xml:space="preserve"> </w:t>
      </w:r>
      <w:r>
        <w:t xml:space="preserve">500 km (Assumed for last-mile delivery within Europe, representing \'sfyrqpmyex\')</w:t>
      </w:r>
    </w:p>
    <w:p>
      <w:pPr>
        <w:numPr>
          <w:ilvl w:val="0"/>
          <w:numId w:val="1005"/>
        </w:numPr>
        <w:pStyle w:val="Compact"/>
      </w:pPr>
      <w:r>
        <w:rPr>
          <w:bCs/>
          <w:b/>
        </w:rPr>
        <w:t xml:space="preserve">Road Freight (Van) Emission Factor:</w:t>
      </w:r>
      <w:r>
        <w:t xml:space="preserve"> </w:t>
      </w:r>
      <w:r>
        <w:t xml:space="preserve">0.1 kg CO2e/tonne-km (Representative for light commercial vehicles/vans)</w:t>
      </w:r>
    </w:p>
    <w:p>
      <w:pPr>
        <w:numPr>
          <w:ilvl w:val="0"/>
          <w:numId w:val="1005"/>
        </w:numPr>
        <w:pStyle w:val="Compact"/>
      </w:pPr>
      <w:r>
        <w:rPr>
          <w:bCs/>
          <w:b/>
        </w:rPr>
        <w:t xml:space="preserve">Product Weight for Transport:</w:t>
      </w:r>
      <w:r>
        <w:t xml:space="preserve"> </w:t>
      </w:r>
      <w:r>
        <w:t xml:space="preserve">1.2 kg (derived from total material mass in BOM) = 0.0012 tonnes</w:t>
      </w:r>
    </w:p>
    <w:bookmarkEnd w:id="31"/>
    <w:bookmarkStart w:id="32"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(riqveddvmd)</w:t>
      </w:r>
    </w:p>
    <w:p>
      <w:pPr>
        <w:numPr>
          <w:ilvl w:val="0"/>
          <w:numId w:val="1006"/>
        </w:numPr>
        <w:pStyle w:val="Compact"/>
      </w:pPr>
      <w:r>
        <w:rPr>
          <w:bCs/>
          <w:b/>
        </w:rPr>
        <w:t xml:space="preserve">Energy Consumption in Use:</w:t>
      </w:r>
      <w:r>
        <w:t xml:space="preserve"> </w:t>
      </w:r>
      <w:r>
        <w:t xml:space="preserve">20 kWh/year (qedtgtfvwg)</w:t>
      </w:r>
    </w:p>
    <w:p>
      <w:pPr>
        <w:numPr>
          <w:ilvl w:val="0"/>
          <w:numId w:val="1006"/>
        </w:numPr>
        <w:pStyle w:val="Compact"/>
      </w:pPr>
      <w:r>
        <w:rPr>
          <w:bCs/>
          <w:b/>
        </w:rPr>
        <w:t xml:space="preserve">Use Phase Electricity Grid Mix Emission Factor (Europe):</w:t>
      </w:r>
      <w:r>
        <w:t xml:space="preserve"> </w:t>
      </w:r>
      <w:r>
        <w:t xml:space="preserve">0.238 kg CO2e/kWh</w:t>
      </w:r>
    </w:p>
    <w:bookmarkEnd w:id="32"/>
    <w:bookmarkStart w:id="33"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(gxnwykdljr)</w:t>
      </w:r>
    </w:p>
    <w:p>
      <w:pPr>
        <w:numPr>
          <w:ilvl w:val="0"/>
          <w:numId w:val="1007"/>
        </w:numPr>
        <w:pStyle w:val="Compact"/>
      </w:pPr>
      <w:r>
        <w:rPr>
          <w:bCs/>
          <w:b/>
        </w:rPr>
        <w:t xml:space="preserve">Circular/Take-back Programs:</w:t>
      </w:r>
      <w:r>
        <w:t xml:space="preserve"> </w:t>
      </w:r>
      <w:r>
        <w:t xml:space="preserve">Active Take-back Program (sddoiyqhsn)</w:t>
      </w:r>
    </w:p>
    <w:p>
      <w:pPr>
        <w:numPr>
          <w:ilvl w:val="0"/>
          <w:numId w:val="1007"/>
        </w:numPr>
        <w:pStyle w:val="Compact"/>
      </w:pPr>
      <w:r>
        <w:rPr>
          <w:bCs/>
          <w:b/>
        </w:rPr>
        <w:t xml:space="preserve">Non-Recycled Portion:</w:t>
      </w:r>
      <w:r>
        <w:t xml:space="preserve"> </w:t>
      </w:r>
      <w:r>
        <w:t xml:space="preserve">30%</w:t>
      </w:r>
    </w:p>
    <w:p>
      <w:pPr>
        <w:numPr>
          <w:ilvl w:val="0"/>
          <w:numId w:val="1007"/>
        </w:numPr>
        <w:pStyle w:val="Compact"/>
      </w:pPr>
      <w:r>
        <w:rPr>
          <w:bCs/>
          <w:b/>
        </w:rPr>
        <w:t xml:space="preserve">Landfill Emission Factor:</w:t>
      </w:r>
      <w:r>
        <w:t xml:space="preserve"> </w:t>
      </w:r>
      <w:r>
        <w:t xml:space="preserve">0.467 kg CO2e/kg (for commercial/industrial waste disposal in landfill)</w:t>
      </w:r>
    </w:p>
    <w:p>
      <w:r>
        <w:pict>
          <v:rect style="width:0;height:1.5pt" o:hralign="center" o:hrstd="t" o:hr="t"/>
        </w:pict>
      </w:r>
    </w:p>
    <w:bookmarkEnd w:id="33"/>
    <w:bookmarkEnd w:id="34"/>
    <w:bookmarkStart w:id="43" w:name="calculation-of-emissions-co2e"/>
    <w:p>
      <w:pPr>
        <w:pStyle w:val="Heading2"/>
      </w:pPr>
      <w:r>
        <w:t xml:space="preserve">3. Calculation of Emissions (CO</w:t>
      </w:r>
      <w:r>
        <w:rPr>
          <w:vertAlign w:val="subscript"/>
        </w:rPr>
        <w:t xml:space="preserve">2</w:t>
      </w:r>
      <w:r>
        <w:t xml:space="preserve">e)</w:t>
      </w:r>
    </w:p>
    <w:bookmarkStart w:id="35" w:name="scope-1-emissions-direct-emissions"/>
    <w:p>
      <w:pPr>
        <w:pStyle w:val="Heading3"/>
      </w:pPr>
      <w:r>
        <w:t xml:space="preserve">3.1. Scope 1 Emissions (Direct Emissions)</w:t>
      </w:r>
    </w:p>
    <w:p>
      <w:pPr>
        <w:pStyle w:val="FirstParagraph"/>
      </w:pPr>
      <w:r>
        <w:t xml:space="preserve">For this Product Carbon Footprint analysis, direct (Scope 1) emissions, which typically arise from on-site fuel combustion or owned/controlled processes, are assumed to be negligible or covered within the Scope 2 and 3 factors provided. No specific data for on-site fuel consumption at the manufacturing facility was provided; therefore, direct operational emissions from owned or controlled sources for the production of one unit of</w:t>
      </w:r>
      <w:r>
        <w:t xml:space="preserve"> </w:t>
      </w:r>
      <w:r>
        <w:rPr>
          <w:bCs/>
          <w:b/>
        </w:rPr>
        <w:t xml:space="preserve">fpirtkgyhm</w:t>
      </w:r>
      <w:r>
        <w:t xml:space="preserve"> </w:t>
      </w:r>
      <w:r>
        <w:t xml:space="preserve">are not quantified separately in this report.</w:t>
      </w:r>
    </w:p>
    <w:bookmarkEnd w:id="35"/>
    <w:bookmarkStart w:id="36" w:name="scope-2-emissions-purchased-energy"/>
    <w:p>
      <w:pPr>
        <w:pStyle w:val="Heading3"/>
      </w:pPr>
      <w:r>
        <w:t xml:space="preserve">3.2. Scope 2 Emissions (Purchased Energy)</w:t>
      </w:r>
    </w:p>
    <w:p>
      <w:pPr>
        <w:pStyle w:val="FirstParagraph"/>
      </w:pPr>
      <w:r>
        <w:t xml:space="preserve">These emissions result from the generation of purchased electricity, heat, or steam consumed by</w:t>
      </w:r>
      <w:r>
        <w:t xml:space="preserve"> </w:t>
      </w:r>
      <w:r>
        <w:rPr>
          <w:bCs/>
          <w:b/>
        </w:rPr>
        <w:t xml:space="preserve">tpnpoywvnz</w:t>
      </w:r>
      <w:r>
        <w:t xml:space="preserve">\'s manufacturing facility in China.</w:t>
      </w:r>
    </w:p>
    <w:p>
      <w:pPr>
        <w:numPr>
          <w:ilvl w:val="0"/>
          <w:numId w:val="1008"/>
        </w:numPr>
        <w:pStyle w:val="Compact"/>
      </w:pPr>
      <w:r>
        <w:t xml:space="preserve">Total Energy for Production: 15 kWh/unit</w:t>
      </w:r>
    </w:p>
    <w:p>
      <w:pPr>
        <w:numPr>
          <w:ilvl w:val="0"/>
          <w:numId w:val="1008"/>
        </w:numPr>
        <w:pStyle w:val="Compact"/>
      </w:pPr>
      <w:r>
        <w:t xml:space="preserve">Non-Renewable Energy Portion: 7.5 kWh/unit</w:t>
      </w:r>
    </w:p>
    <w:p>
      <w:pPr>
        <w:numPr>
          <w:ilvl w:val="0"/>
          <w:numId w:val="1008"/>
        </w:numPr>
        <w:pStyle w:val="Compact"/>
      </w:pPr>
      <w:r>
        <w:t xml:space="preserve">Emission Factor (China Grid Mix): 0.6205 kg CO2e/kWh</w:t>
      </w:r>
    </w:p>
    <w:p>
      <w:pPr>
        <w:numPr>
          <w:ilvl w:val="0"/>
          <w:numId w:val="1008"/>
        </w:numPr>
        <w:pStyle w:val="Compact"/>
      </w:pPr>
      <w:r>
        <w:rPr>
          <w:bCs/>
          <w:b/>
        </w:rPr>
        <w:t xml:space="preserve">Scope 2 Emissions =</w:t>
      </w:r>
      <w:r>
        <w:t xml:space="preserve"> </w:t>
      </w:r>
      <w:r>
        <w:t xml:space="preserve">7.5 kWh/unit * 0.6205 kg CO2e/kWh =</w:t>
      </w:r>
      <w:r>
        <w:t xml:space="preserve"> </w:t>
      </w:r>
      <w:r>
        <w:rPr>
          <w:bCs/>
          <w:b/>
        </w:rPr>
        <w:t xml:space="preserve">4.65 kg CO2e/unit</w:t>
      </w:r>
    </w:p>
    <w:bookmarkEnd w:id="36"/>
    <w:bookmarkStart w:id="41"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w:t>
      </w:r>
      <w:r>
        <w:t xml:space="preserve"> </w:t>
      </w:r>
      <w:r>
        <w:rPr>
          <w:bCs/>
          <w:b/>
        </w:rPr>
        <w:t xml:space="preserve">tpnpoywvnz</w:t>
      </w:r>
      <w:r>
        <w:t xml:space="preserve">, both upstream and downstream.</w:t>
      </w:r>
    </w:p>
    <w:bookmarkStart w:id="37" w:name="X64e27b0c9a5a65684b24c20061334fde37a363d"/>
    <w:p>
      <w:pPr>
        <w:pStyle w:val="Heading4"/>
      </w:pPr>
      <w:r>
        <w:t xml:space="preserve">3.3.1. Upstream Emissions (Category 1: Purchased Goods and Services)</w:t>
      </w:r>
    </w:p>
    <w:p>
      <w:pPr>
        <w:pStyle w:val="FirstParagraph"/>
      </w:pPr>
      <w:r>
        <w:t xml:space="preserve">These are the emissions from the extraction, production, and transportation of raw materials and components for</w:t>
      </w:r>
      <w:r>
        <w:t xml:space="preserve"> </w:t>
      </w:r>
      <w:r>
        <w:rPr>
          <w:bCs/>
          <w:b/>
        </w:rPr>
        <w:t xml:space="preserve">fpirtkgyhm</w:t>
      </w:r>
      <w:r>
        <w:t xml:space="preserve">.</w:t>
      </w:r>
    </w:p>
    <w:p>
      <w:pPr>
        <w:numPr>
          <w:ilvl w:val="0"/>
          <w:numId w:val="1009"/>
        </w:numPr>
        <w:pStyle w:val="Compact"/>
      </w:pPr>
      <w:r>
        <w:rPr>
          <w:bCs/>
          <w:b/>
        </w:rPr>
        <w:t xml:space="preserve">From Detailed BOM:</w:t>
      </w:r>
      <w:r>
        <w:t xml:space="preserve"> </w:t>
      </w:r>
      <w:r>
        <w:t xml:space="preserve">6.97 kg CO2e/unit (Sum of "Total Carbon" values from the BOM table)</w:t>
      </w:r>
    </w:p>
    <w:p>
      <w:pPr>
        <w:numPr>
          <w:ilvl w:val="0"/>
          <w:numId w:val="1009"/>
        </w:numPr>
        <w:pStyle w:val="Compact"/>
      </w:pPr>
      <w:r>
        <w:rPr>
          <w:bCs/>
          <w:b/>
        </w:rPr>
        <w:t xml:space="preserve">Upstream Transport Emissions (Ocean Freight):</w:t>
      </w:r>
    </w:p>
    <w:p>
      <w:pPr>
        <w:numPr>
          <w:ilvl w:val="1"/>
          <w:numId w:val="1010"/>
        </w:numPr>
        <w:pStyle w:val="Compact"/>
      </w:pPr>
      <w:r>
        <w:t xml:space="preserve">Product Weight: 0.0012 tonnes</w:t>
      </w:r>
    </w:p>
    <w:p>
      <w:pPr>
        <w:numPr>
          <w:ilvl w:val="1"/>
          <w:numId w:val="1010"/>
        </w:numPr>
        <w:pStyle w:val="Compact"/>
      </w:pPr>
      <w:r>
        <w:t xml:space="preserve">Transport Distance: 10,000 km</w:t>
      </w:r>
    </w:p>
    <w:p>
      <w:pPr>
        <w:numPr>
          <w:ilvl w:val="1"/>
          <w:numId w:val="1010"/>
        </w:numPr>
        <w:pStyle w:val="Compact"/>
      </w:pPr>
      <w:r>
        <w:t xml:space="preserve">Emission Factor: 0.016 kg CO2e/tonne-km</w:t>
      </w:r>
    </w:p>
    <w:p>
      <w:pPr>
        <w:numPr>
          <w:ilvl w:val="1"/>
          <w:numId w:val="1010"/>
        </w:numPr>
        <w:pStyle w:val="Compact"/>
      </w:pPr>
      <w:r>
        <w:t xml:space="preserve">Calculation: 0.0012 tonnes * 10,000 km * 0.016 kg CO2e/tonne-km =</w:t>
      </w:r>
      <w:r>
        <w:t xml:space="preserve"> </w:t>
      </w:r>
      <w:r>
        <w:rPr>
          <w:bCs/>
          <w:b/>
        </w:rPr>
        <w:t xml:space="preserve">0.192 kg CO2e/unit</w:t>
      </w:r>
    </w:p>
    <w:p>
      <w:pPr>
        <w:numPr>
          <w:ilvl w:val="0"/>
          <w:numId w:val="1009"/>
        </w:numPr>
        <w:pStyle w:val="Compact"/>
      </w:pPr>
      <w:r>
        <w:rPr>
          <w:bCs/>
          <w:b/>
        </w:rPr>
        <w:t xml:space="preserve">Total Upstream Emissions =</w:t>
      </w:r>
      <w:r>
        <w:t xml:space="preserve"> </w:t>
      </w:r>
      <w:r>
        <w:t xml:space="preserve">6.97 kg CO2e + 0.192 kg CO2e =</w:t>
      </w:r>
      <w:r>
        <w:t xml:space="preserve"> </w:t>
      </w:r>
      <w:r>
        <w:rPr>
          <w:bCs/>
          <w:b/>
        </w:rPr>
        <w:t xml:space="preserve">7.162 kg CO2e/unit</w:t>
      </w:r>
    </w:p>
    <w:bookmarkEnd w:id="37"/>
    <w:bookmarkStart w:id="38" w:name="X1d4999c9178ee414cbfcb26421b909edcb11a9d"/>
    <w:p>
      <w:pPr>
        <w:pStyle w:val="Heading4"/>
      </w:pPr>
      <w:r>
        <w:t xml:space="preserve">3.3.2. Downstream Emissions (Category 4: Transportation and Distribution)</w:t>
      </w:r>
    </w:p>
    <w:p>
      <w:pPr>
        <w:pStyle w:val="FirstParagraph"/>
      </w:pPr>
      <w:r>
        <w:t xml:space="preserve">These emissions cover the last-mile delivery of the finished product to the end-user.</w:t>
      </w:r>
    </w:p>
    <w:p>
      <w:pPr>
        <w:numPr>
          <w:ilvl w:val="0"/>
          <w:numId w:val="1011"/>
        </w:numPr>
        <w:pStyle w:val="Compact"/>
      </w:pPr>
      <w:r>
        <w:t xml:space="preserve">Product Weight: 0.0012 tonnes</w:t>
      </w:r>
    </w:p>
    <w:p>
      <w:pPr>
        <w:numPr>
          <w:ilvl w:val="0"/>
          <w:numId w:val="1011"/>
        </w:numPr>
        <w:pStyle w:val="Compact"/>
      </w:pPr>
      <w:r>
        <w:t xml:space="preserve">Transport Distance (Last-Mile): 500 km (Assumed for road delivery)</w:t>
      </w:r>
    </w:p>
    <w:p>
      <w:pPr>
        <w:numPr>
          <w:ilvl w:val="0"/>
          <w:numId w:val="1011"/>
        </w:numPr>
        <w:pStyle w:val="Compact"/>
      </w:pPr>
      <w:r>
        <w:t xml:space="preserve">Emission Factor (Road Freight Van): 0.1 kg CO2e/tonne-km</w:t>
      </w:r>
    </w:p>
    <w:p>
      <w:pPr>
        <w:numPr>
          <w:ilvl w:val="0"/>
          <w:numId w:val="1011"/>
        </w:numPr>
        <w:pStyle w:val="Compact"/>
      </w:pPr>
      <w:r>
        <w:rPr>
          <w:bCs/>
          <w:b/>
        </w:rPr>
        <w:t xml:space="preserve">Downstream Transport Emissions =</w:t>
      </w:r>
      <w:r>
        <w:t xml:space="preserve"> </w:t>
      </w:r>
      <w:r>
        <w:t xml:space="preserve">0.0012 tonnes * 500 km * 0.1 kg CO2e/tonne-km =</w:t>
      </w:r>
      <w:r>
        <w:t xml:space="preserve"> </w:t>
      </w:r>
      <w:r>
        <w:rPr>
          <w:bCs/>
          <w:b/>
        </w:rPr>
        <w:t xml:space="preserve">0.06 kg CO2e/unit</w:t>
      </w:r>
    </w:p>
    <w:bookmarkEnd w:id="38"/>
    <w:bookmarkStart w:id="39" w:name="Xd6c2302b03620a3d5e039b5bc1cba1f5a82d334"/>
    <w:p>
      <w:pPr>
        <w:pStyle w:val="Heading4"/>
      </w:pPr>
      <w:r>
        <w:t xml:space="preserve">3.3.3. Downstream Emissions (Category 11: Use of Sold Products)</w:t>
      </w:r>
    </w:p>
    <w:p>
      <w:pPr>
        <w:pStyle w:val="FirstParagraph"/>
      </w:pPr>
      <w:r>
        <w:t xml:space="preserve">Emissions generated during the use phase of</w:t>
      </w:r>
      <w:r>
        <w:t xml:space="preserve"> </w:t>
      </w:r>
      <w:r>
        <w:rPr>
          <w:bCs/>
          <w:b/>
        </w:rPr>
        <w:t xml:space="preserve">fpirtkgyhm</w:t>
      </w:r>
      <w:r>
        <w:t xml:space="preserve">.</w:t>
      </w:r>
    </w:p>
    <w:p>
      <w:pPr>
        <w:numPr>
          <w:ilvl w:val="0"/>
          <w:numId w:val="1012"/>
        </w:numPr>
        <w:pStyle w:val="Compact"/>
      </w:pPr>
      <w:r>
        <w:t xml:space="preserve">Annual Energy Consumption: 20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20 kWh/year * 5 years = 100 kWh/unit</w:t>
      </w:r>
    </w:p>
    <w:p>
      <w:pPr>
        <w:numPr>
          <w:ilvl w:val="0"/>
          <w:numId w:val="1012"/>
        </w:numPr>
        <w:pStyle w:val="Compact"/>
      </w:pPr>
      <w:r>
        <w:t xml:space="preserve">Emission Factor (Europe Grid Mix): 0.238 kg CO2e/kWh</w:t>
      </w:r>
    </w:p>
    <w:p>
      <w:pPr>
        <w:numPr>
          <w:ilvl w:val="0"/>
          <w:numId w:val="1012"/>
        </w:numPr>
        <w:pStyle w:val="Compact"/>
      </w:pPr>
      <w:r>
        <w:rPr>
          <w:bCs/>
          <w:b/>
        </w:rPr>
        <w:t xml:space="preserve">Use Phase Emissions =</w:t>
      </w:r>
      <w:r>
        <w:t xml:space="preserve"> </w:t>
      </w:r>
      <w:r>
        <w:t xml:space="preserve">100 kWh/unit * 0.238 kg CO2e/kWh =</w:t>
      </w:r>
      <w:r>
        <w:t xml:space="preserve"> </w:t>
      </w:r>
      <w:r>
        <w:rPr>
          <w:bCs/>
          <w:b/>
        </w:rPr>
        <w:t xml:space="preserve">23.80 kg CO2e/unit</w:t>
      </w:r>
    </w:p>
    <w:bookmarkEnd w:id="39"/>
    <w:bookmarkStart w:id="40" w:name="Xd2136a1ae862ab56cf0266dcec7a69e6b662742"/>
    <w:p>
      <w:pPr>
        <w:pStyle w:val="Heading4"/>
      </w:pPr>
      <w:r>
        <w:t xml:space="preserve">3.3.4. Downstream Emissions (Category 12: End-of-Life Treatment of Sold Products)</w:t>
      </w:r>
    </w:p>
    <w:p>
      <w:pPr>
        <w:pStyle w:val="FirstParagraph"/>
      </w:pPr>
      <w:r>
        <w:t xml:space="preserve">Emissions from the disposal of the product at the end of its life, considering recycling and landfilling.</w:t>
      </w:r>
    </w:p>
    <w:p>
      <w:pPr>
        <w:numPr>
          <w:ilvl w:val="0"/>
          <w:numId w:val="1013"/>
        </w:numPr>
        <w:pStyle w:val="Compact"/>
      </w:pPr>
      <w:r>
        <w:t xml:space="preserve">Total Product Mass: 1.2 kg/unit</w:t>
      </w:r>
    </w:p>
    <w:p>
      <w:pPr>
        <w:numPr>
          <w:ilvl w:val="0"/>
          <w:numId w:val="1013"/>
        </w:numPr>
        <w:pStyle w:val="Compact"/>
      </w:pPr>
      <w:r>
        <w:t xml:space="preserve">Recycled Portion: 70% (Assumed to result in avoided emissions, not directly added as a burden)</w:t>
      </w:r>
    </w:p>
    <w:p>
      <w:pPr>
        <w:numPr>
          <w:ilvl w:val="0"/>
          <w:numId w:val="1013"/>
        </w:numPr>
        <w:pStyle w:val="Compact"/>
      </w:pPr>
      <w:r>
        <w:t xml:space="preserve">Non-Recycled Portion (Landfilled): 1.2 kg/unit * (1 - 0.70) = 0.36 kg/unit</w:t>
      </w:r>
    </w:p>
    <w:p>
      <w:pPr>
        <w:numPr>
          <w:ilvl w:val="0"/>
          <w:numId w:val="1013"/>
        </w:numPr>
        <w:pStyle w:val="Compact"/>
      </w:pPr>
      <w:r>
        <w:t xml:space="preserve">Landfill Emission Factor: 0.467 kg CO2e/kg</w:t>
      </w:r>
    </w:p>
    <w:p>
      <w:pPr>
        <w:numPr>
          <w:ilvl w:val="0"/>
          <w:numId w:val="1013"/>
        </w:numPr>
        <w:pStyle w:val="Compact"/>
      </w:pPr>
      <w:r>
        <w:rPr>
          <w:bCs/>
          <w:b/>
        </w:rPr>
        <w:t xml:space="preserve">EoL Emissions =</w:t>
      </w:r>
      <w:r>
        <w:t xml:space="preserve"> </w:t>
      </w:r>
      <w:r>
        <w:t xml:space="preserve">0.36 kg/unit * 0.467 kg CO2e/kg =</w:t>
      </w:r>
      <w:r>
        <w:t xml:space="preserve"> </w:t>
      </w:r>
      <w:r>
        <w:rPr>
          <w:bCs/>
          <w:b/>
        </w:rPr>
        <w:t xml:space="preserve">0.168 kg CO2e/unit</w:t>
      </w:r>
    </w:p>
    <w:bookmarkEnd w:id="40"/>
    <w:bookmarkEnd w:id="41"/>
    <w:bookmarkStart w:id="42" w:name="total-product-carbon-footprint-summary"/>
    <w:p>
      <w:pPr>
        <w:pStyle w:val="Heading3"/>
      </w:pPr>
      <w:r>
        <w:t xml:space="preserve">3.4.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rPr>
                <w:bCs/>
                <w:b/>
              </w:rPr>
              <w:t xml:space="preserve">Scope 1</w:t>
            </w:r>
          </w:p>
        </w:tc>
        <w:tc>
          <w:tcPr/>
          <w:p>
            <w:pPr>
              <w:pStyle w:val="Compact"/>
              <w:jc w:val="left"/>
            </w:pPr>
            <w:r>
              <w:t xml:space="preserve">0.00</w:t>
            </w:r>
          </w:p>
        </w:tc>
        <w:tc>
          <w:tcPr/>
          <w:p>
            <w:pPr>
              <w:pStyle w:val="Compact"/>
              <w:jc w:val="left"/>
            </w:pPr>
            <w:r>
              <w:t xml:space="preserve">Direct emissions from owned/controlled sources (assumed negligible/covered by other scopes)</w:t>
            </w:r>
          </w:p>
        </w:tc>
      </w:tr>
      <w:tr>
        <w:tc>
          <w:tcPr/>
          <w:p>
            <w:pPr>
              <w:pStyle w:val="Compact"/>
              <w:jc w:val="left"/>
            </w:pPr>
            <w:r>
              <w:rPr>
                <w:bCs/>
                <w:b/>
              </w:rPr>
              <w:t xml:space="preserve">Scope 2</w:t>
            </w:r>
          </w:p>
        </w:tc>
        <w:tc>
          <w:tcPr/>
          <w:p>
            <w:pPr>
              <w:pStyle w:val="Compact"/>
              <w:jc w:val="left"/>
            </w:pPr>
            <w:r>
              <w:t xml:space="preserve">4.65</w:t>
            </w:r>
          </w:p>
        </w:tc>
        <w:tc>
          <w:tcPr/>
          <w:p>
            <w:pPr>
              <w:pStyle w:val="Compact"/>
              <w:jc w:val="left"/>
            </w:pPr>
            <w:r>
              <w:t xml:space="preserve">Purchased electricity for manufacturing in China</w:t>
            </w:r>
          </w:p>
        </w:tc>
      </w:tr>
      <w:tr>
        <w:tc>
          <w:tcPr/>
          <w:p>
            <w:pPr>
              <w:pStyle w:val="Compact"/>
              <w:jc w:val="left"/>
            </w:pPr>
            <w:r>
              <w:rPr>
                <w:bCs/>
                <w:b/>
              </w:rPr>
              <w:t xml:space="preserve">Scope 3 - Category 1 (Upstream Materials)</w:t>
            </w:r>
          </w:p>
        </w:tc>
        <w:tc>
          <w:tcPr/>
          <w:p>
            <w:pPr>
              <w:pStyle w:val="Compact"/>
              <w:jc w:val="left"/>
            </w:pPr>
            <w:r>
              <w:t xml:space="preserve">6.97</w:t>
            </w:r>
          </w:p>
        </w:tc>
        <w:tc>
          <w:tcPr/>
          <w:p>
            <w:pPr>
              <w:pStyle w:val="Compact"/>
              <w:jc w:val="left"/>
            </w:pPr>
            <w:r>
              <w:t xml:space="preserve">Raw material acquisition and pre-processing</w:t>
            </w:r>
          </w:p>
        </w:tc>
      </w:tr>
      <w:tr>
        <w:tc>
          <w:tcPr/>
          <w:p>
            <w:pPr>
              <w:pStyle w:val="Compact"/>
              <w:jc w:val="left"/>
            </w:pPr>
            <w:r>
              <w:rPr>
                <w:bCs/>
                <w:b/>
              </w:rPr>
              <w:t xml:space="preserve">Scope 3 - Category 4 (Upstream Transport)</w:t>
            </w:r>
          </w:p>
        </w:tc>
        <w:tc>
          <w:tcPr/>
          <w:p>
            <w:pPr>
              <w:pStyle w:val="Compact"/>
              <w:jc w:val="left"/>
            </w:pPr>
            <w:r>
              <w:t xml:space="preserve">0.192</w:t>
            </w:r>
          </w:p>
        </w:tc>
        <w:tc>
          <w:tcPr/>
          <w:p>
            <w:pPr>
              <w:pStyle w:val="Compact"/>
              <w:jc w:val="left"/>
            </w:pPr>
            <w:r>
              <w:t xml:space="preserve">Ocean freight from raw material sources to factory</w:t>
            </w:r>
          </w:p>
        </w:tc>
      </w:tr>
      <w:tr>
        <w:tc>
          <w:tcPr/>
          <w:p>
            <w:pPr>
              <w:pStyle w:val="Compact"/>
              <w:jc w:val="left"/>
            </w:pPr>
            <w:r>
              <w:rPr>
                <w:bCs/>
                <w:b/>
              </w:rPr>
              <w:t xml:space="preserve">Scope 3 - Category 4 (Downstream Transport)</w:t>
            </w:r>
          </w:p>
        </w:tc>
        <w:tc>
          <w:tcPr/>
          <w:p>
            <w:pPr>
              <w:pStyle w:val="Compact"/>
              <w:jc w:val="left"/>
            </w:pPr>
            <w:r>
              <w:t xml:space="preserve">0.06</w:t>
            </w:r>
          </w:p>
        </w:tc>
        <w:tc>
          <w:tcPr/>
          <w:p>
            <w:pPr>
              <w:pStyle w:val="Compact"/>
              <w:jc w:val="left"/>
            </w:pPr>
            <w:r>
              <w:t xml:space="preserve">Last-mile road freight to customer</w:t>
            </w:r>
          </w:p>
        </w:tc>
      </w:tr>
      <w:tr>
        <w:tc>
          <w:tcPr/>
          <w:p>
            <w:pPr>
              <w:pStyle w:val="Compact"/>
              <w:jc w:val="left"/>
            </w:pPr>
            <w:r>
              <w:rPr>
                <w:bCs/>
                <w:b/>
              </w:rPr>
              <w:t xml:space="preserve">Scope 3 - Category 11 (Use of Sold Products)</w:t>
            </w:r>
          </w:p>
        </w:tc>
        <w:tc>
          <w:tcPr/>
          <w:p>
            <w:pPr>
              <w:pStyle w:val="Compact"/>
              <w:jc w:val="left"/>
            </w:pPr>
            <w:r>
              <w:t xml:space="preserve">23.80</w:t>
            </w:r>
          </w:p>
        </w:tc>
        <w:tc>
          <w:tcPr/>
          <w:p>
            <w:pPr>
              <w:pStyle w:val="Compact"/>
              <w:jc w:val="left"/>
            </w:pPr>
            <w:r>
              <w:t xml:space="preserve">Energy consumption during product lifespan</w:t>
            </w:r>
          </w:p>
        </w:tc>
      </w:tr>
      <w:tr>
        <w:tc>
          <w:tcPr/>
          <w:p>
            <w:pPr>
              <w:pStyle w:val="Compact"/>
              <w:jc w:val="left"/>
            </w:pPr>
            <w:r>
              <w:rPr>
                <w:bCs/>
                <w:b/>
              </w:rPr>
              <w:t xml:space="preserve">Scope 3 - Category 12 (EoL Treatment)</w:t>
            </w:r>
          </w:p>
        </w:tc>
        <w:tc>
          <w:tcPr/>
          <w:p>
            <w:pPr>
              <w:pStyle w:val="Compact"/>
              <w:jc w:val="left"/>
            </w:pPr>
            <w:r>
              <w:t xml:space="preserve">0.168</w:t>
            </w:r>
          </w:p>
        </w:tc>
        <w:tc>
          <w:tcPr/>
          <w:p>
            <w:pPr>
              <w:pStyle w:val="Compact"/>
              <w:jc w:val="left"/>
            </w:pPr>
            <w:r>
              <w:t xml:space="preserve">Emissions from non-recycled portion sent to landfill</w:t>
            </w:r>
          </w:p>
        </w:tc>
      </w:tr>
      <w:tr>
        <w:tc>
          <w:tcPr/>
          <w:p>
            <w:pPr>
              <w:pStyle w:val="Compact"/>
              <w:jc w:val="left"/>
            </w:pPr>
            <w:r>
              <w:rPr>
                <w:bCs/>
                <w:b/>
              </w:rPr>
              <w:t xml:space="preserve">TOTAL PCF</w:t>
            </w:r>
          </w:p>
        </w:tc>
        <w:tc>
          <w:tcPr/>
          <w:p>
            <w:pPr>
              <w:pStyle w:val="Compact"/>
              <w:jc w:val="left"/>
            </w:pPr>
            <w:r>
              <w:rPr>
                <w:bCs/>
                <w:b/>
              </w:rPr>
              <w:t xml:space="preserve">35.84 kg CO2e/unit</w:t>
            </w:r>
          </w:p>
        </w:tc>
        <w:tc>
          <w:tcPr/>
          <w:p>
            <w:pPr>
              <w:pStyle w:val="Compact"/>
              <w:jc w:val="left"/>
            </w:pPr>
            <w:r>
              <w:t xml:space="preserve">(Sum of Scope 1, 2, and 3 emissions)</w:t>
            </w:r>
          </w:p>
        </w:tc>
      </w:tr>
    </w:tbl>
    <w:p>
      <w:r>
        <w:pict>
          <v:rect style="width:0;height:1.5pt" o:hralign="center" o:hrstd="t" o:hr="t"/>
        </w:pict>
      </w:r>
    </w:p>
    <w:bookmarkEnd w:id="42"/>
    <w:bookmarkEnd w:id="43"/>
    <w:bookmarkStart w:id="47" w:name="ghg-protocol-compliance-and-2026-updates"/>
    <w:p>
      <w:pPr>
        <w:pStyle w:val="Heading2"/>
      </w:pPr>
      <w:r>
        <w:t xml:space="preserve">4. GHG Protocol Compliance and 2026 Updates</w:t>
      </w:r>
    </w:p>
    <w:bookmarkStart w:id="44" w:name="X368531c660ec5cc54966e487bc240ddc4b88c63"/>
    <w:p>
      <w:pPr>
        <w:pStyle w:val="Heading3"/>
      </w:pPr>
      <w:r>
        <w:t xml:space="preserve">4.1. Adherence to GHG Protocol Accounting Standard</w:t>
      </w:r>
    </w:p>
    <w:p>
      <w:pPr>
        <w:pStyle w:val="FirstParagraph"/>
      </w:pPr>
      <w:r>
        <w:t xml:space="preserve">This PCF analysis explicitly adheres to the GHG Protocol Product Life Cycle Accounting and Reporting Standard. Emissions are systematically categorized into Scope 1 (direct emissions), Scope 2 (purchased energy), and Scope 3 (value chain emissions) to ensure comprehensive reporting and facilitate targeted reduction strategies. The primary focus of this report is on Scope 2 and Scope 3 emissions, which represent the most significant impact areas for</w:t>
      </w:r>
      <w:r>
        <w:t xml:space="preserve"> </w:t>
      </w:r>
      <w:r>
        <w:rPr>
          <w:bCs/>
          <w:b/>
        </w:rPr>
        <w:t xml:space="preserve">fpirtkgyhm</w:t>
      </w:r>
      <w:r>
        <w:t xml:space="preserve">.</w:t>
      </w:r>
    </w:p>
    <w:bookmarkEnd w:id="44"/>
    <w:bookmarkStart w:id="45"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which takes effect on January 1, 2027, provides updated requirements and guidance for quantifying, reporting, and tracking land emissions and CO</w:t>
      </w:r>
      <w:r>
        <w:rPr>
          <w:vertAlign w:val="subscript"/>
        </w:rPr>
        <w:t xml:space="preserve">2</w:t>
      </w:r>
      <w:r>
        <w:t xml:space="preserve"> </w:t>
      </w:r>
      <w:r>
        <w:t xml:space="preserve">removals. For</w:t>
      </w:r>
      <w:r>
        <w:t xml:space="preserve"> </w:t>
      </w:r>
      <w:r>
        <w:rPr>
          <w:bCs/>
          <w:b/>
        </w:rPr>
        <w:t xml:space="preserve">fpirtkgyhm</w:t>
      </w:r>
      <w:r>
        <w:t xml:space="preserve">, an electronic product, direct land-use change in its manufacturing is unlikely. However, the LSR Standard is relevant for understanding upstream agricultural raw materials (if applicable to specific components, though not directly identified in the provided BOM) and, importantly, for accounting for carbon removals. The \'Active Take-back Program\' and 70% recyclability of</w:t>
      </w:r>
      <w:r>
        <w:t xml:space="preserve"> </w:t>
      </w:r>
      <w:r>
        <w:rPr>
          <w:bCs/>
          <w:b/>
        </w:rPr>
        <w:t xml:space="preserve">fpirtkgyhm</w:t>
      </w:r>
      <w:r>
        <w:t xml:space="preserve"> </w:t>
      </w:r>
      <w:r>
        <w:t xml:space="preserve">can contribute to carbon removals by reducing the demand for virgin materials and their associated upstream land impacts. While specific removal credits are complex and depend on detailed lifecycle assessment of avoided impacts, the commitment to circularity aligns with the principles of the LSR Standard by promoting carbon sequestration through sustainable material management.</w:t>
      </w:r>
    </w:p>
    <w:bookmarkEnd w:id="45"/>
    <w:bookmarkStart w:id="46" w:name="scope-3-compliance-2026-requirements"/>
    <w:p>
      <w:pPr>
        <w:pStyle w:val="Heading3"/>
      </w:pPr>
      <w:r>
        <w:t xml:space="preserve">4.3. Scope 3 Compliance (2026 Requirements)</w:t>
      </w:r>
    </w:p>
    <w:p>
      <w:pPr>
        <w:pStyle w:val="FirstParagraph"/>
      </w:pPr>
      <w:r>
        <w:t xml:space="preserve">The 2026 revisions to the GHG Protocol Scope 3 Standard introduce significant changes aimed at enhancing the rigor and transparency of value chain emissions reporting. Key updates include a mandatory 95% completeness rule, requiring companies to account for at least 95% of total relevant Scope 3 emissions to claim conformance, and mandatory data disaggregation by source type (primary vs. secondary data).</w:t>
      </w:r>
    </w:p>
    <w:p>
      <w:pPr>
        <w:pStyle w:val="BodyText"/>
      </w:pPr>
      <w:r>
        <w:t xml:space="preserve">This analysis for</w:t>
      </w:r>
      <w:r>
        <w:t xml:space="preserve"> </w:t>
      </w:r>
      <w:r>
        <w:rPr>
          <w:bCs/>
          <w:b/>
        </w:rPr>
        <w:t xml:space="preserve">fpirtkgyhm</w:t>
      </w:r>
      <w:r>
        <w:t xml:space="preserve"> </w:t>
      </w:r>
      <w:r>
        <w:t xml:space="preserve">strives for this high level of coverage by including comprehensive material, production, transport, use, and end-of-life emissions. The report utilizes primary data from the detailed BOM and specific energy and logistics parameters where provided, supplemented by robust secondary (industry-average) emission factors. Future iterations should aim to increase the proportion of primary data, particularly from key supply chain partners, to further enhance accuracy and meet evolving data disaggregation requirements.</w:t>
      </w:r>
      <w:r>
        <w:t xml:space="preserve"> </w:t>
      </w:r>
      <w:r>
        <w:rPr>
          <w:bCs/>
          <w:b/>
        </w:rPr>
        <w:t xml:space="preserve">tpnpoywvnz</w:t>
      </w:r>
      <w:r>
        <w:t xml:space="preserve">\'s active engagement with suppliers will be crucial in achieving the 95% completeness threshold and improving data quality as mandated by the 2026 requirements.</w:t>
      </w:r>
    </w:p>
    <w:p>
      <w:r>
        <w:pict>
          <v:rect style="width:0;height:1.5pt" o:hralign="center" o:hrstd="t" o:hr="t"/>
        </w:pict>
      </w:r>
    </w:p>
    <w:bookmarkEnd w:id="46"/>
    <w:bookmarkEnd w:id="47"/>
    <w:bookmarkStart w:id="50" w:name="Xdc30495d89d7b8937b43191367d548c834756ed"/>
    <w:p>
      <w:pPr>
        <w:pStyle w:val="Heading2"/>
      </w:pPr>
      <w:r>
        <w:t xml:space="preserve">5. Review and Reporting: Hotspots and Reliability</w:t>
      </w:r>
    </w:p>
    <w:bookmarkStart w:id="48" w:name="emission-hotspots-identification"/>
    <w:p>
      <w:pPr>
        <w:pStyle w:val="Heading3"/>
      </w:pPr>
      <w:r>
        <w:t xml:space="preserve">5.1. Emission Hotspots Identification</w:t>
      </w:r>
    </w:p>
    <w:p>
      <w:pPr>
        <w:pStyle w:val="FirstParagraph"/>
      </w:pPr>
      <w:r>
        <w:t xml:space="preserve">The analysis reveals the following key emission hotspots for</w:t>
      </w:r>
      <w:r>
        <w:t xml:space="preserve"> </w:t>
      </w:r>
      <w:r>
        <w:rPr>
          <w:bCs/>
          <w:b/>
        </w:rPr>
        <w:t xml:space="preserve">fpirtkgyhm</w:t>
      </w:r>
      <w:r>
        <w:t xml:space="preserve">:</w:t>
      </w:r>
    </w:p>
    <w:p>
      <w:pPr>
        <w:numPr>
          <w:ilvl w:val="0"/>
          <w:numId w:val="1014"/>
        </w:numPr>
        <w:pStyle w:val="Compact"/>
      </w:pPr>
      <w:r>
        <w:rPr>
          <w:bCs/>
          <w:b/>
        </w:rPr>
        <w:t xml:space="preserve">Use Phase (23.80 kg CO2e/unit):</w:t>
      </w:r>
      <w:r>
        <w:t xml:space="preserve"> </w:t>
      </w:r>
      <w:r>
        <w:t xml:space="preserve">This constitutes the largest portion of the PCF, primarily due to the product\'s energy consumption over its 5-year lifespan. This highlights the critical importance of energy efficiency during product design and the grid mix of electricity where the product is used.</w:t>
      </w:r>
    </w:p>
    <w:p>
      <w:pPr>
        <w:numPr>
          <w:ilvl w:val="0"/>
          <w:numId w:val="1014"/>
        </w:numPr>
        <w:pStyle w:val="Compact"/>
      </w:pPr>
      <w:r>
        <w:rPr>
          <w:bCs/>
          <w:b/>
        </w:rPr>
        <w:t xml:space="preserve">Upstream Materials (6.97 kg CO2e/unit):</w:t>
      </w:r>
      <w:r>
        <w:t xml:space="preserve"> </w:t>
      </w:r>
      <w:r>
        <w:t xml:space="preserve">The production of raw materials, particularly aluminum and electronic components, contributes significantly. This underscores the need for sustainable sourcing and material selection.</w:t>
      </w:r>
    </w:p>
    <w:p>
      <w:pPr>
        <w:numPr>
          <w:ilvl w:val="0"/>
          <w:numId w:val="1014"/>
        </w:numPr>
        <w:pStyle w:val="Compact"/>
      </w:pPr>
      <w:r>
        <w:rPr>
          <w:bCs/>
          <w:b/>
        </w:rPr>
        <w:t xml:space="preserve">Manufacturing (Scope 2, 4.65 kg CO2e/unit):</w:t>
      </w:r>
      <w:r>
        <w:t xml:space="preserve"> </w:t>
      </w:r>
      <w:r>
        <w:t xml:space="preserve">The energy consumed during the production process in China is a notable contributor, despite 50% renewable energy usage. Further decarbonization of the energy mix or greater adoption of on-site renewables could yield substantial reductions.</w:t>
      </w:r>
    </w:p>
    <w:bookmarkEnd w:id="48"/>
    <w:bookmarkStart w:id="49" w:name="data-reliability-and-recommendations"/>
    <w:p>
      <w:pPr>
        <w:pStyle w:val="Heading3"/>
      </w:pPr>
      <w:r>
        <w:t xml:space="preserve">5.2. Data Reliability and Recommendations</w:t>
      </w:r>
    </w:p>
    <w:p>
      <w:pPr>
        <w:pStyle w:val="FirstParagraph"/>
      </w:pPr>
      <w:r>
        <w:t xml:space="preserve">The reliability of this PCF is enhanced by the use of a detailed Bill of Materials and specific parameters for energy and logistics. However, the following areas offer opportunities for improvement in data quality and reliability:</w:t>
      </w:r>
    </w:p>
    <w:p>
      <w:pPr>
        <w:numPr>
          <w:ilvl w:val="0"/>
          <w:numId w:val="1015"/>
        </w:numPr>
        <w:pStyle w:val="Compact"/>
      </w:pPr>
      <w:r>
        <w:rPr>
          <w:bCs/>
          <w:b/>
        </w:rPr>
        <w:t xml:space="preserve">Primary Data Collection:</w:t>
      </w:r>
      <w:r>
        <w:t xml:space="preserve"> </w:t>
      </w:r>
      <w:r>
        <w:t xml:space="preserve">While the BOM provided good material specificity, expanding primary data collection for all upstream processes (e.g., actual energy consumption and waste generation from component manufacturers) would further increase accuracy and meet future Scope 3 disaggregation requirements.</w:t>
      </w:r>
    </w:p>
    <w:p>
      <w:pPr>
        <w:numPr>
          <w:ilvl w:val="0"/>
          <w:numId w:val="1015"/>
        </w:numPr>
        <w:pStyle w:val="Compact"/>
      </w:pPr>
      <w:r>
        <w:rPr>
          <w:bCs/>
          <w:b/>
        </w:rPr>
        <w:t xml:space="preserve">Transport Data:</w:t>
      </w:r>
      <w:r>
        <w:t xml:space="preserve"> </w:t>
      </w:r>
      <w:r>
        <w:t xml:space="preserve">Specific data for all legs of the supply chain, including actual vehicle types, load factors, and precise routes, could refine transport emission calculations. The assumed distances for initial and last-mile transport are reasonable estimates but could be replaced with more precise operational data.</w:t>
      </w:r>
    </w:p>
    <w:p>
      <w:pPr>
        <w:numPr>
          <w:ilvl w:val="0"/>
          <w:numId w:val="1015"/>
        </w:numPr>
        <w:pStyle w:val="Compact"/>
      </w:pPr>
      <w:r>
        <w:rPr>
          <w:bCs/>
          <w:b/>
        </w:rPr>
        <w:t xml:space="preserve">Use Phase Variability:</w:t>
      </w:r>
      <w:r>
        <w:t xml:space="preserve"> </w:t>
      </w:r>
      <w:r>
        <w:t xml:space="preserve">The use phase emissions are based on an assumed average energy consumption and typical European grid mix. Actual usage patterns and regional electricity mixes can vary, impacting real-world emissions. Encouraging energy-efficient user behavior or providing grid-aware operation features could mitigate this.</w:t>
      </w:r>
    </w:p>
    <w:p>
      <w:pPr>
        <w:numPr>
          <w:ilvl w:val="0"/>
          <w:numId w:val="1015"/>
        </w:numPr>
        <w:pStyle w:val="Compact"/>
      </w:pPr>
      <w:r>
        <w:rPr>
          <w:bCs/>
          <w:b/>
        </w:rPr>
        <w:t xml:space="preserve">End-of-Life Verification:</w:t>
      </w:r>
      <w:r>
        <w:t xml:space="preserve"> </w:t>
      </w:r>
      <w:r>
        <w:t xml:space="preserve">While a 70% recyclability rate is positive, verifying the actual recycling rates and processes for different materials at the end of the product\'s life in various regions would strengthen EoL emission calculations and potential avoided impacts.</w:t>
      </w:r>
    </w:p>
    <w:p>
      <w:r>
        <w:pict>
          <v:rect style="width:0;height:1.5pt" o:hralign="center" o:hrstd="t" o:hr="t"/>
        </w:pict>
      </w:r>
    </w:p>
    <w:bookmarkEnd w:id="49"/>
    <w:bookmarkEnd w:id="50"/>
    <w:bookmarkStart w:id="52" w:name="conclusion"/>
    <w:p>
      <w:pPr>
        <w:pStyle w:val="Heading2"/>
      </w:pPr>
      <w:r>
        <w:t xml:space="preserve">6. Conclusion</w:t>
      </w:r>
    </w:p>
    <w:p>
      <w:pPr>
        <w:pStyle w:val="FirstParagraph"/>
      </w:pPr>
      <w:r>
        <w:t xml:space="preserve">The Product Carbon Footprint of</w:t>
      </w:r>
      <w:r>
        <w:t xml:space="preserve"> </w:t>
      </w:r>
      <w:r>
        <w:rPr>
          <w:bCs/>
          <w:b/>
        </w:rPr>
        <w:t xml:space="preserve">fpirtkgyhm</w:t>
      </w:r>
      <w:r>
        <w:t xml:space="preserve"> </w:t>
      </w:r>
      <w:r>
        <w:t xml:space="preserve">is calculated to be</w:t>
      </w:r>
      <w:r>
        <w:t xml:space="preserve"> </w:t>
      </w:r>
      <w:r>
        <w:rPr>
          <w:bCs/>
          <w:b/>
        </w:rPr>
        <w:t xml:space="preserve">35.84 kg CO2e per unit</w:t>
      </w:r>
      <w:r>
        <w:t xml:space="preserve">. The analysis clearly identifies the Use Phase and Upstream Materials as the dominant contributors to the product\'s environmental impact.</w:t>
      </w:r>
      <w:r>
        <w:t xml:space="preserve"> </w:t>
      </w:r>
      <w:r>
        <w:rPr>
          <w:bCs/>
          <w:b/>
        </w:rPr>
        <w:t xml:space="preserve">tpnpoywvnz</w:t>
      </w:r>
      <w:r>
        <w:t xml:space="preserve"> </w:t>
      </w:r>
      <w:r>
        <w:t xml:space="preserve">has a clear opportunity to significantly reduce this footprint through continued investment in energy efficiency during the product\'s operational life, fostering deeper supply chain engagement for lower-carbon materials, and further enhancing renewable energy integration in its manufacturing processes. By leveraging its \'Active Take-back Program\' and high recyclability,</w:t>
      </w:r>
      <w:r>
        <w:t xml:space="preserve"> </w:t>
      </w:r>
      <w:r>
        <w:rPr>
          <w:bCs/>
          <w:b/>
        </w:rPr>
        <w:t xml:space="preserve">tpnpoywvnz</w:t>
      </w:r>
      <w:r>
        <w:t xml:space="preserve"> </w:t>
      </w:r>
      <w:r>
        <w:t xml:space="preserve">is well-positioned to meet the evolving demands of circularity and carbon removal accounting under the GHG Protocol\'s 2026 LSR Standard. Continuous data improvement and strategic collaborations across the value chain will be vital for achieving robust, verifiable, and impactful climate action.</w:t>
      </w:r>
    </w:p>
    <w:p>
      <w:pPr>
        <w:pStyle w:val="BodyText"/>
      </w:pPr>
      <w:r>
        <w:t xml:space="preserve">Confidential - Internal Use Only | Page</w:t>
      </w:r>
      <w:r>
        <w:t xml:space="preserve"> </w:t>
      </w:r>
      <w:bookmarkStart w:id="51" w:name="pageNumber"/>
      <w:bookmarkEnd w:id="51"/>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fpirtkgyhm</dc:title>
  <dc:creator/>
  <dc:description>High-detail Product Carbon Footprint (PCF) analysis for fpirtkgyhm, adhering to GHG Protocol standards and 2026 updates, performed by Senior Sustainability Consultant kxnfpxuoxm for tpnpoywvnz.</dc:description>
  <dc:language>en</dc:language>
  <cp:keywords/>
  <dcterms:created xsi:type="dcterms:W3CDTF">2026-05-30T16:54:47Z</dcterms:created>
  <dcterms:modified xsi:type="dcterms:W3CDTF">2026-05-30T16:54:47Z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