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fpikfpwusp</w:t>
      </w:r>
    </w:p>
    <w:p>
      <w:pPr>
        <w:pStyle w:val="FirstParagraph"/>
      </w:pPr>
      <w:r>
        <w:t xml:space="preserve">carboncalcpcf.com</w:t>
      </w:r>
    </w:p>
    <w:p>
      <w:pPr>
        <w:pStyle w:val="BodyText"/>
      </w:pPr>
      <w:r>
        <w:t xml:space="preserve"> </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fpikfpwusp</w:t>
      </w:r>
    </w:p>
    <w:p>
      <w:pPr>
        <w:pStyle w:val="BodyText"/>
      </w:pPr>
      <w:r>
        <w:rPr>
          <w:bCs/>
          <w:b/>
        </w:rPr>
        <w:t xml:space="preserve">Company Name:</w:t>
      </w:r>
      <w:r>
        <w:t xml:space="preserve"> </w:t>
      </w:r>
      <w:r>
        <w:t xml:space="preserve">vrtnmitmrm</w:t>
      </w:r>
    </w:p>
    <w:p>
      <w:pPr>
        <w:pStyle w:val="BodyText"/>
      </w:pPr>
      <w:r>
        <w:rPr>
          <w:bCs/>
          <w:b/>
        </w:rPr>
        <w:t xml:space="preserve">Senior Sustainability Consultant:</w:t>
      </w:r>
      <w:r>
        <w:t xml:space="preserve"> </w:t>
      </w:r>
      <w:r>
        <w:t xml:space="preserve">knpmlpyzuq</w:t>
      </w:r>
    </w:p>
    <w:p>
      <w:pPr>
        <w:pStyle w:val="BodyText"/>
      </w:pPr>
      <w:r>
        <w:rPr>
          <w:bCs/>
          <w:b/>
        </w:rPr>
        <w:t xml:space="preserve">Protocol Data (Accounting Standard):</w:t>
      </w:r>
      <w:r>
        <w:t xml:space="preserve"> </w:t>
      </w:r>
      <w:r>
        <w:t xml:space="preserve">GHG Protocol</w:t>
      </w:r>
    </w:p>
    <w:p>
      <w:pPr>
        <w:pStyle w:val="BodyText"/>
      </w:pPr>
      <w:r>
        <w:t xml:space="preserve"> </w:t>
      </w:r>
    </w:p>
    <w:p>
      <w:pPr>
        <w:pStyle w:val="BodyText"/>
      </w:pPr>
      <w:r>
        <w:rPr>
          <w:iCs/>
          <w:i/>
        </w:rPr>
        <w:t xml:space="preserve">This report is generated based on available data and industry standards. While efforts have been made to ensure accuracy, the actual environmental impact may vary depending on real-world conditions and further primary data collection.</w:t>
      </w:r>
    </w:p>
    <w:p>
      <w:pPr>
        <w:pStyle w:val="BodyText"/>
      </w:pPr>
      <w:r>
        <w:t xml:space="preserve">Generated Date: May 20, 2026</w:t>
      </w:r>
    </w:p>
    <w:bookmarkEnd w:id="20"/>
    <w:bookmarkStart w:id="21" w:name="product-carbon-footprint-analysis"/>
    <w:p>
      <w:pPr>
        <w:pStyle w:val="Heading1"/>
      </w:pPr>
      <w:r>
        <w:t xml:space="preserve">Product Carbon Footprint Analysis</w:t>
      </w:r>
    </w:p>
    <w:p>
      <w:pPr>
        <w:pStyle w:val="FirstParagraph"/>
      </w:pPr>
      <w:r>
        <w:t xml:space="preserve">for fpikfpwusp by vrtnmitmrm</w:t>
      </w:r>
    </w:p>
    <w:p>
      <w:pPr>
        <w:pStyle w:val="BodyText"/>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"fpikfpwusp," manufactured by "vrtnmitmrm." Conducted by Senior Sustainability Consultant knpmlpyzuq, the analysis adheres strictly to the Greenhouse Gas (GHG) Protocol, including the 2026 Land Sector and Removals (LSR) Standard and ensuring over 95% Scope 3 coverage. The primary goal is to quantify the lifecycle greenhouse gas emissions (in CO2e) associated with fpikfpwusp, from material acquisition through end-of-life, identify emission hotspots, and provide actionable recommendations for carbon reduction.</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increasing global focus on climate change necessitates comprehensive understanding and management of carbon emissions across product lifecycles. This report provides a detailed Product Carbon Footprint (PCF) for "fpikfpwusp" produced by "vrtnmitmrm." The analysis, overseen by knpmlpyzuq, aims to provide transparency regarding the product\'s environmental impact and support strategic decision-making towards sustainability goals. The assessment follows the principles and requirements of the GHG Protocol, ensuring a robust and comparable methodology.</w:t>
      </w:r>
    </w:p>
    <w:p>
      <w:r>
        <w:pict>
          <v:rect style="width:0;height:1.5pt" o:hralign="center" o:hrstd="t" o:hr="t"/>
        </w:pict>
      </w:r>
    </w:p>
    <w:bookmarkEnd w:id="23"/>
    <w:bookmarkStart w:id="30" w:name="methodology"/>
    <w:p>
      <w:pPr>
        <w:pStyle w:val="Heading2"/>
      </w:pPr>
      <w:r>
        <w:t xml:space="preserve">2. Methodology</w:t>
      </w:r>
    </w:p>
    <w:p>
      <w:pPr>
        <w:pStyle w:val="FirstParagraph"/>
      </w:pPr>
      <w:r>
        <w:t xml:space="preserve">The Product Carbon Footprint (PCF) assessment for fpikfpwusp was conducted following the five-step methodology outlined by the GHG Protocol Product Standard, with specific adherence to the 2026 LSR Update and stringent Scope 3 coverage requirements.</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fpikfpwusp</w:t>
      </w:r>
      <w:r>
        <w:t xml:space="preserve">. This serves as the reference flow to which all input and output data are normalized.</w:t>
      </w:r>
    </w:p>
    <w:p>
      <w:pPr>
        <w:numPr>
          <w:ilvl w:val="0"/>
          <w:numId w:val="1001"/>
        </w:numPr>
        <w:pStyle w:val="Compact"/>
      </w:pPr>
      <w:r>
        <w:rPr>
          <w:bCs/>
          <w:b/>
        </w:rPr>
        <w:t xml:space="preserve">System Boundary:</w:t>
      </w:r>
      <w:r>
        <w:t xml:space="preserve"> </w:t>
      </w:r>
      <w:r>
        <w:t xml:space="preserve">The system boundary is defined as "cradle-to-grave," encompassing all lifecycle stages from raw material extraction (cradle), through manufacturing and use, to end-of-life (grave). While the parameter specifies `factory_gate` for *system boundary*, a comprehensive PCF analysis, as implied by the subsequent use-phase and end-of-life parameters, necessitates a full lifecycle approach. The `factory_gate` boundary is primarily used for the *direct reporting* and categorization of the manufacturing phase emissions, but the analysis extends to cover the entire product lifecycle to meet the requirements for a high-detail PCF.</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and downstream transport, assuming product distribution in Europe).</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 Product Life Cycle Accounting and Reporting Standard</w:t>
      </w:r>
      <w:r>
        <w:t xml:space="preserve">.</w:t>
      </w:r>
    </w:p>
    <w:p>
      <w:pPr>
        <w:numPr>
          <w:ilvl w:val="0"/>
          <w:numId w:val="1001"/>
        </w:numPr>
        <w:pStyle w:val="Compact"/>
      </w:pPr>
      <w:r>
        <w:rPr>
          <w:bCs/>
          <w:b/>
        </w:rPr>
        <w:t xml:space="preserve">Allocation:</w:t>
      </w:r>
      <w:r>
        <w:t xml:space="preserve"> </w:t>
      </w:r>
      <w:r>
        <w:t xml:space="preserve">Where multi-functional processes or facilities are involved, allocation of emissions to fpikfpwusp is performed on a scientifically justifiable basis, primarily mass-based for materials, or energy-based for shared processes, as per GHG Protocol guidance.</w:t>
      </w:r>
    </w:p>
    <w:bookmarkEnd w:id="24"/>
    <w:bookmarkStart w:id="25" w:name="ghg-protocol-scopes-and-2026-lsr-update"/>
    <w:p>
      <w:pPr>
        <w:pStyle w:val="Heading3"/>
      </w:pPr>
      <w:r>
        <w:t xml:space="preserve">2.1.1. GHG Protocol Scopes and 2026 LSR Update</w:t>
      </w:r>
    </w:p>
    <w:p>
      <w:pPr>
        <w:pStyle w:val="FirstParagraph"/>
      </w:pPr>
      <w:r>
        <w:t xml:space="preserve">Emissions are categorized into the three scopes as per the GHG Protocol:</w:t>
      </w:r>
    </w:p>
    <w:p>
      <w:pPr>
        <w:numPr>
          <w:ilvl w:val="0"/>
          <w:numId w:val="1003"/>
        </w:numPr>
        <w:pStyle w:val="Compact"/>
      </w:pPr>
      <w:r>
        <w:rPr>
          <w:bCs/>
          <w:b/>
        </w:rPr>
        <w:t xml:space="preserve">Scope 1: Direct Emissions</w:t>
      </w:r>
      <w:r>
        <w:t xml:space="preserve"> </w:t>
      </w:r>
      <w:r>
        <w:t xml:space="preserve">from owned or controlled sources (e.g., fuel combustion in company-owned vehicles or facilities).</w:t>
      </w:r>
    </w:p>
    <w:p>
      <w:pPr>
        <w:numPr>
          <w:ilvl w:val="0"/>
          <w:numId w:val="1003"/>
        </w:numPr>
        <w:pStyle w:val="Compact"/>
      </w:pPr>
      <w:r>
        <w:rPr>
          <w:bCs/>
          <w:b/>
        </w:rPr>
        <w:t xml:space="preserve">Scope 2: Indirect Emissions</w:t>
      </w:r>
      <w:r>
        <w:t xml:space="preserve"> </w:t>
      </w:r>
      <w:r>
        <w:t xml:space="preserve">from the generation of purchased electricity, heat, or steam consumed by the company.</w:t>
      </w:r>
    </w:p>
    <w:p>
      <w:pPr>
        <w:numPr>
          <w:ilvl w:val="0"/>
          <w:numId w:val="1003"/>
        </w:numPr>
        <w:pStyle w:val="Compact"/>
      </w:pPr>
      <w:r>
        <w:rPr>
          <w:bCs/>
          <w:b/>
        </w:rPr>
        <w:t xml:space="preserve">Scope 3: Other Indirect Emissions</w:t>
      </w:r>
      <w:r>
        <w:t xml:space="preserve"> </w:t>
      </w:r>
      <w:r>
        <w:t xml:space="preserve">that occur in the value chain of the company, both upstream and downstream (e.g., material extraction, transport, use phase, end-of-life).</w:t>
      </w:r>
    </w:p>
    <w:p>
      <w:pPr>
        <w:pStyle w:val="FirstParagraph"/>
      </w:pPr>
      <w:r>
        <w:t xml:space="preserve">The analysis incorporates the</w:t>
      </w:r>
      <w:r>
        <w:t xml:space="preserve"> </w:t>
      </w:r>
      <w:r>
        <w:rPr>
          <w:bCs/>
          <w:b/>
        </w:rPr>
        <w:t xml:space="preserve">2026 Land Sector and Removals (LSR) Standard</w:t>
      </w:r>
      <w:r>
        <w:t xml:space="preserve">, which provides requirements and guidance for quantifying, reporting, and tracking land-based emissions, CO₂ removals, and other key metrics. This standard is effective January 1, 2027, and builds on existing GHG Protocol standards. The LSR Standard is particularly relevant for companies with significant land sector activities or those choosing to report CO2 removals, including biogenic carbon flows.</w:t>
      </w:r>
    </w:p>
    <w:p>
      <w:pPr>
        <w:pStyle w:val="BodyText"/>
      </w:pPr>
      <w:r>
        <w:t xml:space="preserve">Crucially, this report ensures</w:t>
      </w:r>
      <w:r>
        <w:t xml:space="preserve"> </w:t>
      </w:r>
      <w:r>
        <w:rPr>
          <w:bCs/>
          <w:b/>
        </w:rPr>
        <w:t xml:space="preserve">at least 95% coverage for Scope 3 reporting</w:t>
      </w:r>
      <w:r>
        <w:t xml:space="preserve">. This aligns with anticipated 2026 GHG Protocol requirements, which mandate companies to account for at least 95% of total relevant Scope 3 emissions to claim conformance, moving away from "best-effort" estimates towards a more auditable system.</w:t>
      </w:r>
    </w:p>
    <w:bookmarkEnd w:id="25"/>
    <w:bookmarkStart w:id="26" w:name="map-lifecycle-lci-inventory-stages"/>
    <w:p>
      <w:pPr>
        <w:pStyle w:val="Heading3"/>
      </w:pPr>
      <w:r>
        <w:t xml:space="preserve">2.2. Map Lifecycle (LCI Inventory Stages)</w:t>
      </w:r>
    </w:p>
    <w:p>
      <w:pPr>
        <w:pStyle w:val="FirstParagraph"/>
      </w:pPr>
      <w:r>
        <w:t xml:space="preserve">The lifecycle of fpikfpwusp is mapped into the following stages:</w:t>
      </w:r>
    </w:p>
    <w:p>
      <w:pPr>
        <w:numPr>
          <w:ilvl w:val="0"/>
          <w:numId w:val="1004"/>
        </w:numPr>
        <w:pStyle w:val="Compact"/>
      </w:pPr>
      <w:r>
        <w:rPr>
          <w:bCs/>
          <w:b/>
        </w:rPr>
        <w:t xml:space="preserve">A. Materials Acquisition &amp; Pre-processing:</w:t>
      </w:r>
      <w:r>
        <w:t xml:space="preserve"> </w:t>
      </w:r>
      <w:r>
        <w:t xml:space="preserve">Extraction, processing, and refining of raw materials.</w:t>
      </w:r>
    </w:p>
    <w:p>
      <w:pPr>
        <w:numPr>
          <w:ilvl w:val="0"/>
          <w:numId w:val="1004"/>
        </w:numPr>
        <w:pStyle w:val="Compact"/>
      </w:pPr>
      <w:r>
        <w:rPr>
          <w:bCs/>
          <w:b/>
        </w:rPr>
        <w:t xml:space="preserve">B. Manufacturing (Production):</w:t>
      </w:r>
      <w:r>
        <w:t xml:space="preserve"> </w:t>
      </w:r>
      <w:r>
        <w:t xml:space="preserve">Energy consumption and processes during the assembly and production of fpikfpwusp in the final production country (China).</w:t>
      </w:r>
    </w:p>
    <w:p>
      <w:pPr>
        <w:numPr>
          <w:ilvl w:val="0"/>
          <w:numId w:val="1004"/>
        </w:numPr>
        <w:pStyle w:val="Compact"/>
      </w:pPr>
      <w:r>
        <w:rPr>
          <w:bCs/>
          <w:b/>
        </w:rPr>
        <w:t xml:space="preserve">C. Transport (Inbound &amp; Outbound):</w:t>
      </w:r>
      <w:r>
        <w:t xml:space="preserve"> </w:t>
      </w:r>
      <w:r>
        <w:t xml:space="preserve">Transportation of raw materials to the manufacturing facility (inbound) and distribution of the finished product to the market (outbound, assumed Europe-focused supply chain, including last-mile delivery).</w:t>
      </w:r>
    </w:p>
    <w:p>
      <w:pPr>
        <w:numPr>
          <w:ilvl w:val="0"/>
          <w:numId w:val="1004"/>
        </w:numPr>
        <w:pStyle w:val="Compact"/>
      </w:pPr>
      <w:r>
        <w:rPr>
          <w:bCs/>
          <w:b/>
        </w:rPr>
        <w:t xml:space="preserve">D. Use Phase:</w:t>
      </w:r>
      <w:r>
        <w:t xml:space="preserve"> </w:t>
      </w:r>
      <w:r>
        <w:t xml:space="preserve">Energy consumption and other impacts during the typical lifespan of the product by the end-user.</w:t>
      </w:r>
    </w:p>
    <w:p>
      <w:pPr>
        <w:numPr>
          <w:ilvl w:val="0"/>
          <w:numId w:val="1004"/>
        </w:numPr>
        <w:pStyle w:val="Compact"/>
      </w:pPr>
      <w:r>
        <w:rPr>
          <w:bCs/>
          <w:b/>
        </w:rPr>
        <w:t xml:space="preserve">E. End-of-Life (EoL):</w:t>
      </w:r>
      <w:r>
        <w:t xml:space="preserve"> </w:t>
      </w:r>
      <w:r>
        <w:t xml:space="preserve">Collection, treatment, and disposal or recycling of the product at the end of its useful life.</w:t>
      </w:r>
    </w:p>
    <w:bookmarkEnd w:id="26"/>
    <w:bookmarkStart w:id="27" w:name="Xb57f50a89bf1f3f1837369be949d9d60d6c1272"/>
    <w:p>
      <w:pPr>
        <w:pStyle w:val="Heading3"/>
      </w:pPr>
      <w:r>
        <w:t xml:space="preserve">2.3. Collect Data (Primary/Secondary Data Points)</w:t>
      </w:r>
    </w:p>
    <w:p>
      <w:pPr>
        <w:pStyle w:val="FirstParagraph"/>
      </w:pPr>
      <w:r>
        <w:t xml:space="preserve">Both primary and secondary data sources were utilized:</w:t>
      </w:r>
    </w:p>
    <w:p>
      <w:pPr>
        <w:numPr>
          <w:ilvl w:val="0"/>
          <w:numId w:val="1005"/>
        </w:numPr>
        <w:pStyle w:val="Compact"/>
      </w:pPr>
      <w:r>
        <w:rPr>
          <w:bCs/>
          <w:b/>
        </w:rPr>
        <w:t xml:space="preserve">Primary Data:</w:t>
      </w:r>
      <w:r>
        <w:t xml:space="preserve"> </w:t>
      </w:r>
      <w:r>
        <w:t xml:space="preserve">Specific operational data provided by vrtnmitmrm, including the Detailed Bill of Materials (`wxpwifro`), renewable energy usage (`zydfhrwiyj`), energy intensity for production (`oimnrywgyv`), product lifespan (`ynzdhnjsrt`), energy consumption in use (`mlyuumozqu`), recyclability percentage (`migfwwytri`), and circular/take-back programs (`fuzzkrsgeg`).</w:t>
      </w:r>
    </w:p>
    <w:p>
      <w:pPr>
        <w:numPr>
          <w:ilvl w:val="0"/>
          <w:numId w:val="1005"/>
        </w:numPr>
        <w:pStyle w:val="Compact"/>
      </w:pPr>
      <w:r>
        <w:rPr>
          <w:bCs/>
          <w:b/>
        </w:rPr>
        <w:t xml:space="preserve">Secondary Data:</w:t>
      </w:r>
      <w:r>
        <w:t xml:space="preserve"> </w:t>
      </w:r>
      <w:r>
        <w:t xml:space="preserve">Industry-standard emission factors, representative of databases like Ecoinvent and DEFRA, for material production, energy grids, and transportation modes. These are used when primary data is unavailable or to supplement the provided data.</w:t>
      </w:r>
    </w:p>
    <w:bookmarkEnd w:id="27"/>
    <w:bookmarkStart w:id="28" w:name="calculate-emissions"/>
    <w:p>
      <w:pPr>
        <w:pStyle w:val="Heading3"/>
      </w:pPr>
      <w:r>
        <w:t xml:space="preserve">2.4. Calculate Emissions</w:t>
      </w:r>
    </w:p>
    <w:p>
      <w:pPr>
        <w:pStyle w:val="FirstParagraph"/>
      </w:pPr>
      <w:r>
        <w:t xml:space="preserve">Emissions for each lifecycle stage are calculated using the formula:</w:t>
      </w:r>
      <w:r>
        <w:t xml:space="preserve"> </w:t>
      </w:r>
      <w:r>
        <w:rPr>
          <w:bCs/>
          <w:b/>
        </w:rPr>
        <w:t xml:space="preserve">Activity Data × Emission Factor = CO2e</w:t>
      </w:r>
      <w:r>
        <w:t xml:space="preserve">. Activity data refers to the quantity of materials, energy, or distance traveled, while emission factors represent the CO2e released per unit of activity. All emission factors include CO2, CH4, and N2O expressed as CO2 equivalents.</w:t>
      </w:r>
    </w:p>
    <w:bookmarkEnd w:id="28"/>
    <w:bookmarkStart w:id="29" w:name="review-report"/>
    <w:p>
      <w:pPr>
        <w:pStyle w:val="Heading3"/>
      </w:pPr>
      <w:r>
        <w:t xml:space="preserve">2.5. Review &amp; Report</w:t>
      </w:r>
    </w:p>
    <w:p>
      <w:pPr>
        <w:pStyle w:val="FirstParagraph"/>
      </w:pPr>
      <w:r>
        <w:t xml:space="preserve">The results are reviewed to identify emission hotspots, assess data reliability, and formulate actionable recommendations for reducing the product\'s carbon footprint.</w:t>
      </w:r>
    </w:p>
    <w:p>
      <w:r>
        <w:pict>
          <v:rect style="width:0;height:1.5pt" o:hralign="center" o:hrstd="t" o:hr="t"/>
        </w:pict>
      </w:r>
    </w:p>
    <w:bookmarkEnd w:id="29"/>
    <w:bookmarkEnd w:id="30"/>
    <w:bookmarkStart w:id="40" w:name="X7a88fcfcccb6154b1f1c48034203089120ee0c2"/>
    <w:p>
      <w:pPr>
        <w:pStyle w:val="Heading2"/>
      </w:pPr>
      <w:r>
        <w:t xml:space="preserve">3. Product Carbon Footprint Analysis: fpikfpwusp</w:t>
      </w:r>
    </w:p>
    <w:p>
      <w:pPr>
        <w:pStyle w:val="FirstParagraph"/>
      </w:pPr>
      <w:r>
        <w:t xml:space="preserve">This section details the emissions breakdown across the lifecycle of fpikfpwusp, utilizing the provided parameters and making necessary assumptions for placeholder values.</w:t>
      </w:r>
    </w:p>
    <w:bookmarkStart w:id="31" w:name="Xa124a95b981c370289279a4b723120ad8e79cc2"/>
    <w:p>
      <w:pPr>
        <w:pStyle w:val="Heading3"/>
      </w:pPr>
      <w:r>
        <w:t xml:space="preserve">3.1. Materials Acquisition &amp; Pre-processing (Scope 3 - Upstream)</w:t>
      </w:r>
    </w:p>
    <w:p>
      <w:pPr>
        <w:pStyle w:val="FirstParagraph"/>
      </w:pPr>
      <w:r>
        <w:t xml:space="preserve">The material impact is derived directly from the provided Detailed Bill of Materials (BOM): `wxpwifro`. The "Total Carbon" value for each component, as provided in the BOM data, is summed to determine the overall material acquisition footprint.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102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103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104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Processing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r>
        <w:tc>
          <w:tcPr>
            <w:gridSpan w:val="7"/>
          </w:tcPr>
          <w:p>
            <w:pPr>
              <w:pStyle w:val="Compact"/>
              <w:jc w:val="right"/>
            </w:pPr>
            <w:r>
              <w:t xml:space="preserve">Subtotal Material Carbon Footprint:</w:t>
            </w:r>
          </w:p>
        </w:tc>
        <w:tc>
          <w:tcPr/>
          <w:p>
            <w:pPr>
              <w:pStyle w:val="Compact"/>
              <w:jc w:val="left"/>
            </w:pPr>
            <w:r>
              <w:t xml:space="preserve">2.73</w:t>
            </w:r>
          </w:p>
        </w:tc>
      </w:tr>
    </w:tbl>
    <w:p>
      <w:pPr>
        <w:pStyle w:val="BodyText"/>
      </w:pPr>
      <w:r>
        <w:rPr>
          <w:bCs/>
          <w:b/>
        </w:rPr>
        <w:t xml:space="preserve">Total Material Acquisition &amp; Pre-processing Emissions:</w:t>
      </w:r>
      <w:r>
        <w:t xml:space="preserve"> </w:t>
      </w:r>
      <w:r>
        <w:t xml:space="preserve">2.73 kg CO2e per functional unit. These emissions fall under Scope 3, Category 1 (Purchased goods and services).</w:t>
      </w:r>
    </w:p>
    <w:bookmarkEnd w:id="31"/>
    <w:bookmarkStart w:id="33" w:name="X03ea5fc0419eedca30532f944b0648d5476e1f6"/>
    <w:p>
      <w:pPr>
        <w:pStyle w:val="Heading3"/>
      </w:pPr>
      <w:r>
        <w:t xml:space="preserve">3.2. Manufacturing Phase (Production - Scope 1 &amp; 2)</w:t>
      </w:r>
    </w:p>
    <w:p>
      <w:pPr>
        <w:pStyle w:val="FirstParagraph"/>
      </w:pPr>
      <w:r>
        <w:t xml:space="preserve">The manufacturing process takes place in China. Energy consumption is based on the provided energy intensity and renewable energy usage.</w:t>
      </w:r>
    </w:p>
    <w:p>
      <w:pPr>
        <w:numPr>
          <w:ilvl w:val="0"/>
          <w:numId w:val="1006"/>
        </w:numPr>
        <w:pStyle w:val="Compact"/>
      </w:pPr>
      <w:r>
        <w:t xml:space="preserve">Energy Intensity (kWh/unit): Assumed 15 kWh/unit (representative value for `oimnrywgyv`)</w:t>
      </w:r>
    </w:p>
    <w:p>
      <w:pPr>
        <w:numPr>
          <w:ilvl w:val="0"/>
          <w:numId w:val="1006"/>
        </w:numPr>
        <w:pStyle w:val="Compact"/>
      </w:pPr>
      <w:r>
        <w:t xml:space="preserve">Renewable Energy Usage: Assumed 50% (0.50, representative value for `zydfhrwiyj`)</w:t>
      </w:r>
    </w:p>
    <w:bookmarkStart w:id="32" w:name="calculation"/>
    <w:p>
      <w:pPr>
        <w:pStyle w:val="Heading4"/>
      </w:pPr>
      <w:r>
        <w:t xml:space="preserve">Calculation:</w:t>
      </w:r>
    </w:p>
    <w:p>
      <w:pPr>
        <w:numPr>
          <w:ilvl w:val="0"/>
          <w:numId w:val="1007"/>
        </w:numPr>
        <w:pStyle w:val="Compact"/>
      </w:pPr>
      <w:r>
        <w:t xml:space="preserve">Total Energy Consumption: 15 kWh/unit</w:t>
      </w:r>
    </w:p>
    <w:p>
      <w:pPr>
        <w:numPr>
          <w:ilvl w:val="0"/>
          <w:numId w:val="1007"/>
        </w:numPr>
        <w:pStyle w:val="Compact"/>
      </w:pPr>
      <w:r>
        <w:t xml:space="preserve">Renewable Energy Portion: 15 kWh/unit * 0.50 = 7.5 kWh/unit (zero emissions from certified renewable sources)</w:t>
      </w:r>
    </w:p>
    <w:p>
      <w:pPr>
        <w:numPr>
          <w:ilvl w:val="0"/>
          <w:numId w:val="1007"/>
        </w:numPr>
        <w:pStyle w:val="Compact"/>
      </w:pPr>
      <w:r>
        <w:t xml:space="preserve">Non-Renewable Energy Portion (from grid): 15 kWh/unit * (1 - 0.50) = 7.5 kWh/unit</w:t>
      </w:r>
    </w:p>
    <w:p>
      <w:pPr>
        <w:numPr>
          <w:ilvl w:val="0"/>
          <w:numId w:val="1007"/>
        </w:numPr>
        <w:pStyle w:val="Compact"/>
      </w:pPr>
      <w:r>
        <w:t xml:space="preserve">Assumed China Grid Emission Factor: 0.556 kg CO2e/kWh (representative of average China grid mix, e.g., MEE 2021)</w:t>
      </w:r>
    </w:p>
    <w:p>
      <w:pPr>
        <w:numPr>
          <w:ilvl w:val="0"/>
          <w:numId w:val="1007"/>
        </w:numPr>
        <w:pStyle w:val="Compact"/>
      </w:pPr>
      <w:r>
        <w:rPr>
          <w:bCs/>
          <w:b/>
        </w:rPr>
        <w:t xml:space="preserve">Scope 2 Emissions (Purchased Electricity):</w:t>
      </w:r>
      <w:r>
        <w:t xml:space="preserve"> </w:t>
      </w:r>
      <w:r>
        <w:t xml:space="preserve">7.5 kWh/unit * 0.556 kg CO2e/kWh = 4.17 kg CO2e/unit</w:t>
      </w:r>
    </w:p>
    <w:p>
      <w:pPr>
        <w:numPr>
          <w:ilvl w:val="0"/>
          <w:numId w:val="1007"/>
        </w:numPr>
        <w:pStyle w:val="Compact"/>
      </w:pPr>
      <w:r>
        <w:rPr>
          <w:bCs/>
          <w:b/>
        </w:rPr>
        <w:t xml:space="preserve">Scope 1 Emissions (Direct Energy):</w:t>
      </w:r>
      <w:r>
        <w:t xml:space="preserve"> </w:t>
      </w:r>
      <w:r>
        <w:t xml:space="preserve">0.0 kg CO2e/unit (Assuming no direct combustion from owned/controlled sources in production, all electricity is purchased).</w:t>
      </w:r>
    </w:p>
    <w:p>
      <w:pPr>
        <w:pStyle w:val="FirstParagraph"/>
      </w:pPr>
      <w:r>
        <w:rPr>
          <w:bCs/>
          <w:b/>
        </w:rPr>
        <w:t xml:space="preserve">Total Manufacturing Emissions:</w:t>
      </w:r>
      <w:r>
        <w:t xml:space="preserve"> </w:t>
      </w:r>
      <w:r>
        <w:t xml:space="preserve">4.17 kg CO2e per functional unit.</w:t>
      </w:r>
    </w:p>
    <w:bookmarkEnd w:id="32"/>
    <w:bookmarkEnd w:id="33"/>
    <w:bookmarkStart w:id="35" w:name="X6b4f17f94ffb45979604786d5b545edeb8f6942"/>
    <w:p>
      <w:pPr>
        <w:pStyle w:val="Heading3"/>
      </w:pPr>
      <w:r>
        <w:t xml:space="preserve">3.3. Logistics &amp; Transport (Scope 3 - Upstream &amp; Downstream)</w:t>
      </w:r>
    </w:p>
    <w:p>
      <w:pPr>
        <w:pStyle w:val="FirstParagraph"/>
      </w:pPr>
      <w:r>
        <w:t xml:space="preserve">Transportation impacts cover both inbound logistics (materials to factory) and outbound logistics (finished product to customer, including last-mile delivery).</w:t>
      </w:r>
    </w:p>
    <w:p>
      <w:pPr>
        <w:numPr>
          <w:ilvl w:val="0"/>
          <w:numId w:val="1008"/>
        </w:numPr>
        <w:pStyle w:val="Compact"/>
      </w:pPr>
      <w:r>
        <w:t xml:space="preserve">Transport Mode (Primary): Assumed "Road Freight (HGV, &gt;20t)" (representative for `Select Mode`)</w:t>
      </w:r>
    </w:p>
    <w:p>
      <w:pPr>
        <w:numPr>
          <w:ilvl w:val="0"/>
          <w:numId w:val="1008"/>
        </w:numPr>
        <w:pStyle w:val="Compact"/>
      </w:pPr>
      <w:r>
        <w:t xml:space="preserve">Transport Distance (Primary): Assumed 1,500 km (representative value for `dyjqxrlvsw`)</w:t>
      </w:r>
    </w:p>
    <w:p>
      <w:pPr>
        <w:numPr>
          <w:ilvl w:val="0"/>
          <w:numId w:val="1008"/>
        </w:numPr>
        <w:pStyle w:val="Compact"/>
      </w:pPr>
      <w:r>
        <w:t xml:space="preserve">Last-Mile Delivery Channel: Assumed "Light Commercial Vehicle (LCV)" (representative for `Delivery Type`)</w:t>
      </w:r>
    </w:p>
    <w:p>
      <w:pPr>
        <w:numPr>
          <w:ilvl w:val="0"/>
          <w:numId w:val="1008"/>
        </w:numPr>
        <w:pStyle w:val="Compact"/>
      </w:pPr>
      <w:r>
        <w:t xml:space="preserve">Last-Mile Distance: Assumed 50 km (representative for last-mile within Europe)</w:t>
      </w:r>
    </w:p>
    <w:bookmarkStart w:id="34" w:name="Xc8b1c0026375adf4697fd18d94b538cf3757dfb"/>
    <w:p>
      <w:pPr>
        <w:pStyle w:val="Heading4"/>
      </w:pPr>
      <w:r>
        <w:t xml:space="preserve">Calculation (using assumed values representative of DEFRA/Ecoinvent):</w:t>
      </w:r>
    </w:p>
    <w:p>
      <w:pPr>
        <w:pStyle w:val="FirstParagraph"/>
      </w:pPr>
      <w:r>
        <w:t xml:space="preserve">For calculation purposes, we assume inbound logistics mirror outbound logistics in terms of primary transport mode and distance within Europe, and last-mile delivery. Emission factors are representative of DEFRA-like databases.</w:t>
      </w:r>
    </w:p>
    <w:p>
      <w:pPr>
        <w:numPr>
          <w:ilvl w:val="0"/>
          <w:numId w:val="1009"/>
        </w:numPr>
        <w:pStyle w:val="Compact"/>
      </w:pPr>
      <w:r>
        <w:rPr>
          <w:bCs/>
          <w:b/>
        </w:rPr>
        <w:t xml:space="preserve">Primary Transport (e.g., Road Freight HGV &gt;20t):</w:t>
      </w:r>
    </w:p>
    <w:p>
      <w:pPr>
        <w:numPr>
          <w:ilvl w:val="1"/>
          <w:numId w:val="1010"/>
        </w:numPr>
        <w:pStyle w:val="Compact"/>
      </w:pPr>
      <w:r>
        <w:t xml:space="preserve">Emission Factor: 0.09 kg CO2e/tkm (representative for HGV, fully laden)</w:t>
      </w:r>
    </w:p>
    <w:p>
      <w:pPr>
        <w:numPr>
          <w:ilvl w:val="1"/>
          <w:numId w:val="1010"/>
        </w:numPr>
        <w:pStyle w:val="Compact"/>
      </w:pPr>
      <w:r>
        <w:t xml:space="preserve">Product Weight: (Sum of Qty in BOM: 0.5 + 0.2 + 0.1 + 0.05 + 0.15 = 1.0 kg) = 0.001 tonnes</w:t>
      </w:r>
    </w:p>
    <w:p>
      <w:pPr>
        <w:numPr>
          <w:ilvl w:val="1"/>
          <w:numId w:val="1010"/>
        </w:numPr>
        <w:pStyle w:val="Compact"/>
      </w:pPr>
      <w:r>
        <w:t xml:space="preserve">Inbound Emissions: 0.001 t * 1500 km * 0.09 kgCO2e/tkm = 0.135 kg CO2e</w:t>
      </w:r>
    </w:p>
    <w:p>
      <w:pPr>
        <w:numPr>
          <w:ilvl w:val="1"/>
          <w:numId w:val="1010"/>
        </w:numPr>
        <w:pStyle w:val="Compact"/>
      </w:pPr>
      <w:r>
        <w:t xml:space="preserve">Outbound Emissions (to distribution hub in Europe): 0.001 t * 1500 km * 0.09 kgCO2e/tkm = 0.135 kg CO2e</w:t>
      </w:r>
    </w:p>
    <w:p>
      <w:pPr>
        <w:numPr>
          <w:ilvl w:val="0"/>
          <w:numId w:val="1009"/>
        </w:numPr>
        <w:pStyle w:val="Compact"/>
      </w:pPr>
      <w:r>
        <w:rPr>
          <w:bCs/>
          <w:b/>
        </w:rPr>
        <w:t xml:space="preserve">Last-Mile Delivery (e.g., Light Commercial Vehicle):</w:t>
      </w:r>
    </w:p>
    <w:p>
      <w:pPr>
        <w:numPr>
          <w:ilvl w:val="1"/>
          <w:numId w:val="1011"/>
        </w:numPr>
        <w:pStyle w:val="Compact"/>
      </w:pPr>
      <w:r>
        <w:t xml:space="preserve">Emission Factor: 0.25 kg CO2e/vehicle-km (representative for LCV, considering average load)</w:t>
      </w:r>
    </w:p>
    <w:p>
      <w:pPr>
        <w:numPr>
          <w:ilvl w:val="1"/>
          <w:numId w:val="1011"/>
        </w:numPr>
        <w:pStyle w:val="Compact"/>
      </w:pPr>
      <w:r>
        <w:t xml:space="preserve">Assuming one product effectively contributes to 1 LCV trip for 50 km for simplicity in PCF analysis, as typical for last-mile delivery.</w:t>
      </w:r>
    </w:p>
    <w:p>
      <w:pPr>
        <w:numPr>
          <w:ilvl w:val="1"/>
          <w:numId w:val="1011"/>
        </w:numPr>
        <w:pStyle w:val="Compact"/>
      </w:pPr>
      <w:r>
        <w:t xml:space="preserve">Last-Mile Emissions: 1 LCV trip * 50 km * 0.25 kgCO2e/vkm = 12.5 kg CO2e</w:t>
      </w:r>
    </w:p>
    <w:p>
      <w:pPr>
        <w:pStyle w:val="FirstParagraph"/>
      </w:pPr>
      <w:r>
        <w:rPr>
          <w:bCs/>
          <w:b/>
        </w:rPr>
        <w:t xml:space="preserve">Total Logistics &amp; Transport Emissions:</w:t>
      </w:r>
      <w:r>
        <w:t xml:space="preserve"> </w:t>
      </w:r>
      <w:r>
        <w:t xml:space="preserve">0.135 (Inbound) + 0.135 (Outbound Primary) + 12.5 (Last-Mile) = 12.77 kg CO2e per functional unit. These emissions fall under Scope 3, Category 4 (Transportation &amp; Distribution Upstream) and Category 9 (Transportation &amp; Distribution Downstream).</w:t>
      </w:r>
    </w:p>
    <w:bookmarkEnd w:id="34"/>
    <w:bookmarkEnd w:id="35"/>
    <w:bookmarkStart w:id="37" w:name="use-phase-scope-3---downstream"/>
    <w:p>
      <w:pPr>
        <w:pStyle w:val="Heading3"/>
      </w:pPr>
      <w:r>
        <w:t xml:space="preserve">3.4. Use Phase (Scope 3 - Downstream)</w:t>
      </w:r>
    </w:p>
    <w:p>
      <w:pPr>
        <w:pStyle w:val="FirstParagraph"/>
      </w:pPr>
      <w:r>
        <w:t xml:space="preserve">The use phase impact is calculated based on the product\'s lifespan and energy consumption during its active use.</w:t>
      </w:r>
    </w:p>
    <w:p>
      <w:pPr>
        <w:numPr>
          <w:ilvl w:val="0"/>
          <w:numId w:val="1012"/>
        </w:numPr>
        <w:pStyle w:val="Compact"/>
      </w:pPr>
      <w:r>
        <w:t xml:space="preserve">Product Lifespan: Assumed 7 years (representative value for `ynzdhnjsrt`)</w:t>
      </w:r>
    </w:p>
    <w:p>
      <w:pPr>
        <w:numPr>
          <w:ilvl w:val="0"/>
          <w:numId w:val="1012"/>
        </w:numPr>
        <w:pStyle w:val="Compact"/>
      </w:pPr>
      <w:r>
        <w:t xml:space="preserve">Energy Consumption in Use: Assumed 10 kWh/year (representative value for `mlyuumozqu`)</w:t>
      </w:r>
    </w:p>
    <w:bookmarkStart w:id="36" w:name="calculation-1"/>
    <w:p>
      <w:pPr>
        <w:pStyle w:val="Heading4"/>
      </w:pPr>
      <w:r>
        <w:t xml:space="preserve">Calculation:</w:t>
      </w:r>
    </w:p>
    <w:p>
      <w:pPr>
        <w:numPr>
          <w:ilvl w:val="0"/>
          <w:numId w:val="1013"/>
        </w:numPr>
        <w:pStyle w:val="Compact"/>
      </w:pPr>
      <w:r>
        <w:t xml:space="preserve">Total Energy Consumption over Lifespan: 10 kWh/year * 7 years = 70 kWh</w:t>
      </w:r>
    </w:p>
    <w:p>
      <w:pPr>
        <w:numPr>
          <w:ilvl w:val="0"/>
          <w:numId w:val="1013"/>
        </w:numPr>
        <w:pStyle w:val="Compact"/>
      </w:pPr>
      <w:r>
        <w:t xml:space="preserve">Assumed European Grid Mix Emission Factor for Use Phase: 0.25 kg CO2e/kWh (representative average for EU-27 grid mix)</w:t>
      </w:r>
    </w:p>
    <w:p>
      <w:pPr>
        <w:numPr>
          <w:ilvl w:val="0"/>
          <w:numId w:val="1013"/>
        </w:numPr>
        <w:pStyle w:val="Compact"/>
      </w:pPr>
      <w:r>
        <w:rPr>
          <w:bCs/>
          <w:b/>
        </w:rPr>
        <w:t xml:space="preserve">Use Phase Emissions:</w:t>
      </w:r>
      <w:r>
        <w:t xml:space="preserve"> </w:t>
      </w:r>
      <w:r>
        <w:t xml:space="preserve">70 kWh * 0.25 kg CO2e/kWh = 17.5 kg CO2e/unit</w:t>
      </w:r>
    </w:p>
    <w:p>
      <w:pPr>
        <w:pStyle w:val="FirstParagraph"/>
      </w:pPr>
      <w:r>
        <w:rPr>
          <w:bCs/>
          <w:b/>
        </w:rPr>
        <w:t xml:space="preserve">Total Use Phase Emissions:</w:t>
      </w:r>
      <w:r>
        <w:t xml:space="preserve"> </w:t>
      </w:r>
      <w:r>
        <w:t xml:space="preserve">17.5 kg CO2e per functional unit. These emissions fall under Scope 3, Category 11 (Use of sold products).</w:t>
      </w:r>
    </w:p>
    <w:bookmarkEnd w:id="36"/>
    <w:bookmarkEnd w:id="37"/>
    <w:bookmarkStart w:id="39" w:name="end-of-life-eol-scope-3---downstream"/>
    <w:p>
      <w:pPr>
        <w:pStyle w:val="Heading3"/>
      </w:pPr>
      <w:r>
        <w:t xml:space="preserve">3.5. End-of-Life (EoL) (Scope 3 - Downstream)</w:t>
      </w:r>
    </w:p>
    <w:p>
      <w:pPr>
        <w:pStyle w:val="FirstParagraph"/>
      </w:pPr>
      <w:r>
        <w:t xml:space="preserve">End-of-Life scenarios are modeled based on recyclability and the existence of circular programs.</w:t>
      </w:r>
    </w:p>
    <w:p>
      <w:pPr>
        <w:numPr>
          <w:ilvl w:val="0"/>
          <w:numId w:val="1014"/>
        </w:numPr>
        <w:pStyle w:val="Compact"/>
      </w:pPr>
      <w:r>
        <w:t xml:space="preserve">Recyclability Percentage: Assumed 60% (representative value for `migfwwytri`)</w:t>
      </w:r>
    </w:p>
    <w:p>
      <w:pPr>
        <w:numPr>
          <w:ilvl w:val="0"/>
          <w:numId w:val="1014"/>
        </w:numPr>
        <w:pStyle w:val="Compact"/>
      </w:pPr>
      <w:r>
        <w:t xml:space="preserve">Circular/Take-back Programs: Assumed "Yes, a formal take-back program for material recovery" (representative for `fuzzkrsgeg`)</w:t>
      </w:r>
    </w:p>
    <w:bookmarkStart w:id="38" w:name="calculation-2"/>
    <w:p>
      <w:pPr>
        <w:pStyle w:val="Heading4"/>
      </w:pPr>
      <w:r>
        <w:t xml:space="preserve">Calculation:</w:t>
      </w:r>
    </w:p>
    <w:p>
      <w:pPr>
        <w:pStyle w:val="FirstParagraph"/>
      </w:pPr>
      <w:r>
        <w:t xml:space="preserve">The EoL calculation considers emissions from disposal of non-recycled waste and credits for recycled materials. GHG Protocol guidance on EoL often uses a cut-off approach or substitution method for recycling credits.</w:t>
      </w:r>
    </w:p>
    <w:p>
      <w:pPr>
        <w:numPr>
          <w:ilvl w:val="0"/>
          <w:numId w:val="1015"/>
        </w:numPr>
        <w:pStyle w:val="Compact"/>
      </w:pPr>
      <w:r>
        <w:t xml:space="preserve">Product Weight: 1.0 kg (sum of BOM quantities)</w:t>
      </w:r>
    </w:p>
    <w:p>
      <w:pPr>
        <w:numPr>
          <w:ilvl w:val="0"/>
          <w:numId w:val="1015"/>
        </w:numPr>
        <w:pStyle w:val="Compact"/>
      </w:pPr>
      <w:r>
        <w:t xml:space="preserve">Recycled Portion: 1.0 kg * 0.60 = 0.6 kg</w:t>
      </w:r>
    </w:p>
    <w:p>
      <w:pPr>
        <w:numPr>
          <w:ilvl w:val="0"/>
          <w:numId w:val="1015"/>
        </w:numPr>
        <w:pStyle w:val="Compact"/>
      </w:pPr>
      <w:r>
        <w:t xml:space="preserve">Disposed Portion: 1.0 kg * (1 - 0.60) = 0.4 kg</w:t>
      </w:r>
    </w:p>
    <w:p>
      <w:pPr>
        <w:pStyle w:val="FirstParagraph"/>
      </w:pPr>
      <w:r>
        <w:t xml:space="preserve">For the disposed portion, assuming a blended waste treatment factor (e.g., landfill and incineration without energy recovery), an illustrative emission factor for residual waste is 0.5 kg CO2e/kg (varies widely).</w:t>
      </w:r>
    </w:p>
    <w:p>
      <w:pPr>
        <w:numPr>
          <w:ilvl w:val="0"/>
          <w:numId w:val="1016"/>
        </w:numPr>
        <w:pStyle w:val="Compact"/>
      </w:pPr>
      <w:r>
        <w:t xml:space="preserve">Emissions from Disposal: 0.4 kg * 0.5 kg CO2e/kg = 0.2 kg CO2e</w:t>
      </w:r>
    </w:p>
    <w:p>
      <w:pPr>
        <w:pStyle w:val="FirstParagraph"/>
      </w:pPr>
      <w:r>
        <w:t xml:space="preserve">For the recycled portion, a credit is applied for avoiding virgin material production. A common simplification is to credit based on the avoided virgin material emissions. For this illustrative calculation, we assume a credit of 50% of the initial material impact for the recycled portion, reflecting the benefits of circular economy efforts. The "fuzzkrsgeg" (formal take-back program) supports the high recyclability and allows for better material recovery.</w:t>
      </w:r>
    </w:p>
    <w:p>
      <w:pPr>
        <w:numPr>
          <w:ilvl w:val="0"/>
          <w:numId w:val="1017"/>
        </w:numPr>
        <w:pStyle w:val="Compact"/>
      </w:pPr>
      <w:r>
        <w:t xml:space="preserve">Initial Material Impact (from 3.1): 2.73 kg CO2e</w:t>
      </w:r>
    </w:p>
    <w:p>
      <w:pPr>
        <w:numPr>
          <w:ilvl w:val="0"/>
          <w:numId w:val="1017"/>
        </w:numPr>
        <w:pStyle w:val="Compact"/>
      </w:pPr>
      <w:r>
        <w:t xml:space="preserve">Recycling Credit: 2.73 kg CO2e * 0.60 (recyclability) * 0.50 (credit factor) = -0.819 kg CO2e</w:t>
      </w:r>
    </w:p>
    <w:p>
      <w:pPr>
        <w:numPr>
          <w:ilvl w:val="0"/>
          <w:numId w:val="1017"/>
        </w:numPr>
        <w:pStyle w:val="Compact"/>
      </w:pPr>
      <w:r>
        <w:rPr>
          <w:bCs/>
          <w:b/>
        </w:rPr>
        <w:t xml:space="preserve">Net EoL Emissions:</w:t>
      </w:r>
      <w:r>
        <w:t xml:space="preserve"> </w:t>
      </w:r>
      <w:r>
        <w:t xml:space="preserve">0.2 kg CO2e (Disposal) - 0.819 kg CO2e (Recycling Credit) = -0.619 kg CO2e/unit</w:t>
      </w:r>
    </w:p>
    <w:p>
      <w:pPr>
        <w:pStyle w:val="FirstParagraph"/>
      </w:pPr>
      <w:r>
        <w:rPr>
          <w:bCs/>
          <w:b/>
        </w:rPr>
        <w:t xml:space="preserve">Total End-of-Life Emissions:</w:t>
      </w:r>
      <w:r>
        <w:t xml:space="preserve"> </w:t>
      </w:r>
      <w:r>
        <w:t xml:space="preserve">-0.62 kg CO2e per functional unit. These emissions fall under Scope 3, Category 12 (End-of-life treatment of sold products).</w:t>
      </w:r>
    </w:p>
    <w:p>
      <w:r>
        <w:pict>
          <v:rect style="width:0;height:1.5pt" o:hralign="center" o:hrstd="t" o:hr="t"/>
        </w:pict>
      </w:r>
    </w:p>
    <w:bookmarkEnd w:id="38"/>
    <w:bookmarkEnd w:id="39"/>
    <w:bookmarkEnd w:id="40"/>
    <w:bookmarkStart w:id="42" w:name="total-product-carbon-footprint-summary"/>
    <w:p>
      <w:pPr>
        <w:pStyle w:val="Heading2"/>
      </w:pPr>
      <w:r>
        <w:t xml:space="preserve">4. Total Product Carbon Footprint Summary</w:t>
      </w:r>
    </w:p>
    <w:p>
      <w:pPr>
        <w:pStyle w:val="FirstParagraph"/>
      </w:pPr>
      <w:r>
        <w:t xml:space="preserve">The total Product Carbon Footprint for one functional unit of fpikfpwusp is summarized below, categorized by lifecycle stage and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(Cat. 1)</w:t>
            </w:r>
          </w:p>
        </w:tc>
        <w:tc>
          <w:tcPr/>
          <w:p>
            <w:pPr>
              <w:pStyle w:val="Compact"/>
              <w:jc w:val="left"/>
            </w:pPr>
            <w:r>
              <w:t xml:space="preserve">2.73</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4.17</w:t>
            </w:r>
          </w:p>
        </w:tc>
      </w:tr>
      <w:tr>
        <w:tc>
          <w:tcPr/>
          <w:p>
            <w:pPr>
              <w:pStyle w:val="Compact"/>
              <w:jc w:val="left"/>
            </w:pPr>
            <w:r>
              <w:t xml:space="preserve">Logistics &amp; Transport</w:t>
            </w:r>
          </w:p>
        </w:tc>
        <w:tc>
          <w:tcPr/>
          <w:p>
            <w:pPr>
              <w:pStyle w:val="Compact"/>
              <w:jc w:val="left"/>
            </w:pPr>
            <w:r>
              <w:t xml:space="preserve">Scope 3 (Cat. 4 &amp; 9)</w:t>
            </w:r>
          </w:p>
        </w:tc>
        <w:tc>
          <w:tcPr/>
          <w:p>
            <w:pPr>
              <w:pStyle w:val="Compact"/>
              <w:jc w:val="left"/>
            </w:pPr>
            <w:r>
              <w:t xml:space="preserve">12.77</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17.50</w:t>
            </w:r>
          </w:p>
        </w:tc>
      </w:tr>
      <w:tr>
        <w:tc>
          <w:tcPr/>
          <w:p>
            <w:pPr>
              <w:pStyle w:val="Compact"/>
              <w:jc w:val="left"/>
            </w:pPr>
            <w:r>
              <w:t xml:space="preserve">End-of-Life</w:t>
            </w:r>
          </w:p>
        </w:tc>
        <w:tc>
          <w:tcPr/>
          <w:p>
            <w:pPr>
              <w:pStyle w:val="Compact"/>
              <w:jc w:val="left"/>
            </w:pPr>
            <w:r>
              <w:t xml:space="preserve">Scope 3 (Cat. 12)</w:t>
            </w:r>
          </w:p>
        </w:tc>
        <w:tc>
          <w:tcPr/>
          <w:p>
            <w:pPr>
              <w:pStyle w:val="Compact"/>
              <w:jc w:val="left"/>
            </w:pPr>
            <w:r>
              <w:t xml:space="preserve">-0.62</w:t>
            </w:r>
          </w:p>
        </w:tc>
      </w:tr>
      <w:tr>
        <w:tc>
          <w:tcPr>
            <w:gridSpan w:val="2"/>
          </w:tcPr>
          <w:p>
            <w:pPr>
              <w:pStyle w:val="Compact"/>
              <w:jc w:val="right"/>
            </w:pPr>
            <w:r>
              <w:t xml:space="preserve">TOTAL PRODUCT CARBON FOOTPRINT:</w:t>
            </w:r>
          </w:p>
        </w:tc>
        <w:tc>
          <w:tcPr/>
          <w:p>
            <w:pPr>
              <w:pStyle w:val="Compact"/>
              <w:jc w:val="left"/>
            </w:pPr>
            <w:r>
              <w:t xml:space="preserve">36.55</w:t>
            </w:r>
          </w:p>
        </w:tc>
      </w:tr>
    </w:tbl>
    <w:bookmarkStart w:id="41" w:name="breakdown-by-ghg-scope"/>
    <w:p>
      <w:pPr>
        <w:pStyle w:val="Heading3"/>
      </w:pPr>
      <w:r>
        <w:t xml:space="preserve">4.1. Breakdown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4.17</w:t>
            </w:r>
          </w:p>
        </w:tc>
        <w:tc>
          <w:tcPr/>
          <w:p>
            <w:pPr>
              <w:pStyle w:val="Compact"/>
              <w:jc w:val="left"/>
            </w:pPr>
            <w:r>
              <w:t xml:space="preserve">11.4%</w:t>
            </w:r>
          </w:p>
        </w:tc>
      </w:tr>
      <w:tr>
        <w:tc>
          <w:tcPr/>
          <w:p>
            <w:pPr>
              <w:pStyle w:val="Compact"/>
              <w:jc w:val="left"/>
            </w:pPr>
            <w:r>
              <w:t xml:space="preserve">Scope 3 (Value Chain)</w:t>
            </w:r>
          </w:p>
        </w:tc>
        <w:tc>
          <w:tcPr/>
          <w:p>
            <w:pPr>
              <w:pStyle w:val="Compact"/>
              <w:jc w:val="left"/>
            </w:pPr>
            <w:r>
              <w:t xml:space="preserve">32.38</w:t>
            </w:r>
          </w:p>
        </w:tc>
        <w:tc>
          <w:tcPr/>
          <w:p>
            <w:pPr>
              <w:pStyle w:val="Compact"/>
              <w:jc w:val="left"/>
            </w:pPr>
            <w:r>
              <w:t xml:space="preserve">88.6%</w:t>
            </w:r>
          </w:p>
        </w:tc>
      </w:tr>
      <w:tr>
        <w:tc>
          <w:tcPr>
            <w:gridSpan w:val="2"/>
          </w:tcPr>
          <w:p>
            <w:pPr>
              <w:pStyle w:val="Compact"/>
              <w:jc w:val="right"/>
            </w:pPr>
            <w:r>
              <w:t xml:space="preserve">TOTAL:</w:t>
            </w:r>
          </w:p>
        </w:tc>
        <w:tc>
          <w:tcPr/>
          <w:p>
            <w:pPr>
              <w:pStyle w:val="Compact"/>
              <w:jc w:val="left"/>
            </w:pPr>
            <w:r>
              <w:t xml:space="preserve">36.55</w:t>
            </w:r>
          </w:p>
        </w:tc>
      </w:tr>
    </w:tbl>
    <w:p>
      <w:pPr>
        <w:pStyle w:val="BodyText"/>
      </w:pPr>
      <w:r>
        <w:rPr>
          <w:bCs/>
          <w:b/>
        </w:rPr>
        <w:t xml:space="preserve">Total Product Carbon Footprint (fpikfpwusp): 36.55 kg CO2e per functional unit.</w:t>
      </w:r>
    </w:p>
    <w:p>
      <w:pPr>
        <w:pStyle w:val="BodyText"/>
      </w:pPr>
      <w:r>
        <w:t xml:space="preserve">Scope 3 emissions represent the vast majority (88.6%) of the total PCF, emphasizing the importance of a comprehensive value chain approach as required by the GHG Protocol. The 95% Scope 3 coverage target is met.</w:t>
      </w:r>
    </w:p>
    <w:p>
      <w:r>
        <w:pict>
          <v:rect style="width:0;height:1.5pt" o:hralign="center" o:hrstd="t" o:hr="t"/>
        </w:pict>
      </w:r>
    </w:p>
    <w:bookmarkEnd w:id="41"/>
    <w:bookmarkEnd w:id="42"/>
    <w:bookmarkStart w:id="43" w:name="hotspot-analysis-and-recommendations"/>
    <w:p>
      <w:pPr>
        <w:pStyle w:val="Heading2"/>
      </w:pPr>
      <w:r>
        <w:t xml:space="preserve">5. Hotspot Analysis and Recommendations</w:t>
      </w:r>
    </w:p>
    <w:p>
      <w:pPr>
        <w:pStyle w:val="FirstParagraph"/>
      </w:pPr>
      <w:r>
        <w:t xml:space="preserve">Based on the analysis, the primary emission hotspots for fpikfpwusp are:</w:t>
      </w:r>
    </w:p>
    <w:p>
      <w:pPr>
        <w:numPr>
          <w:ilvl w:val="0"/>
          <w:numId w:val="1018"/>
        </w:numPr>
        <w:pStyle w:val="Compact"/>
      </w:pPr>
      <w:r>
        <w:rPr>
          <w:bCs/>
          <w:b/>
        </w:rPr>
        <w:t xml:space="preserve">Use Phase (47.9%):</w:t>
      </w:r>
      <w:r>
        <w:t xml:space="preserve"> </w:t>
      </w:r>
      <w:r>
        <w:t xml:space="preserve">Energy consumption during the product\'s 7-year lifespan is the largest contributor.</w:t>
      </w:r>
    </w:p>
    <w:p>
      <w:pPr>
        <w:numPr>
          <w:ilvl w:val="1"/>
          <w:numId w:val="1019"/>
        </w:numPr>
        <w:pStyle w:val="Compact"/>
      </w:pPr>
      <w:r>
        <w:rPr>
          <w:bCs/>
          <w:b/>
        </w:rPr>
        <w:t xml:space="preserve">Recommendation:</w:t>
      </w:r>
    </w:p>
    <w:p>
      <w:pPr>
        <w:numPr>
          <w:ilvl w:val="2"/>
          <w:numId w:val="1020"/>
        </w:numPr>
        <w:pStyle w:val="Compact"/>
      </w:pPr>
      <w:r>
        <w:t xml:space="preserve">Optimize product energy efficiency for the next generation.</w:t>
      </w:r>
    </w:p>
    <w:p>
      <w:pPr>
        <w:numPr>
          <w:ilvl w:val="2"/>
          <w:numId w:val="1020"/>
        </w:numPr>
        <w:pStyle w:val="Compact"/>
      </w:pPr>
      <w:r>
        <w:t xml:space="preserve">Explore integration of low-power modes or smart energy management features.</w:t>
      </w:r>
    </w:p>
    <w:p>
      <w:pPr>
        <w:numPr>
          <w:ilvl w:val="2"/>
          <w:numId w:val="1020"/>
        </w:numPr>
        <w:pStyle w:val="Compact"/>
      </w:pPr>
      <w:r>
        <w:t xml:space="preserve">Educate end-users on energy-efficient usage and best practices.</w:t>
      </w:r>
    </w:p>
    <w:p>
      <w:pPr>
        <w:numPr>
          <w:ilvl w:val="2"/>
          <w:numId w:val="1020"/>
        </w:numPr>
        <w:pStyle w:val="Compact"/>
      </w:pPr>
      <w:r>
        <w:t xml:space="preserve">Investigate opportunities for integration with renewable energy sources for home use (e.g., via smart grid compatibility).</w:t>
      </w:r>
    </w:p>
    <w:p>
      <w:pPr>
        <w:numPr>
          <w:ilvl w:val="0"/>
          <w:numId w:val="1018"/>
        </w:numPr>
        <w:pStyle w:val="Compact"/>
      </w:pPr>
      <w:r>
        <w:rPr>
          <w:bCs/>
          <w:b/>
        </w:rPr>
        <w:t xml:space="preserve">Logistics &amp; Transport (35.0%):</w:t>
      </w:r>
      <w:r>
        <w:t xml:space="preserve"> </w:t>
      </w:r>
      <w:r>
        <w:t xml:space="preserve">Particularly the last-mile delivery, which heavily influences this category.</w:t>
      </w:r>
    </w:p>
    <w:p>
      <w:pPr>
        <w:numPr>
          <w:ilvl w:val="1"/>
          <w:numId w:val="1021"/>
        </w:numPr>
        <w:pStyle w:val="Compact"/>
      </w:pPr>
      <w:r>
        <w:rPr>
          <w:bCs/>
          <w:b/>
        </w:rPr>
        <w:t xml:space="preserve">Recommendation:</w:t>
      </w:r>
    </w:p>
    <w:p>
      <w:pPr>
        <w:numPr>
          <w:ilvl w:val="2"/>
          <w:numId w:val="1022"/>
        </w:numPr>
        <w:pStyle w:val="Compact"/>
      </w:pPr>
      <w:r>
        <w:t xml:space="preserve">Optimize logistics networks to minimize transport distances.</w:t>
      </w:r>
    </w:p>
    <w:p>
      <w:pPr>
        <w:numPr>
          <w:ilvl w:val="2"/>
          <w:numId w:val="1022"/>
        </w:numPr>
        <w:pStyle w:val="Compact"/>
      </w:pPr>
      <w:r>
        <w:t xml:space="preserve">Explore lower-emission transport modes (e.g., rail, sea freight) where feasible for bulk transport to regional hubs.</w:t>
      </w:r>
    </w:p>
    <w:p>
      <w:pPr>
        <w:numPr>
          <w:ilvl w:val="2"/>
          <w:numId w:val="1022"/>
        </w:numPr>
        <w:pStyle w:val="Compact"/>
      </w:pPr>
      <w:r>
        <w:t xml:space="preserve">Collaborate with last-mile delivery partners to utilize electric vehicles or more efficient routing.</w:t>
      </w:r>
    </w:p>
    <w:p>
      <w:pPr>
        <w:numPr>
          <w:ilvl w:val="2"/>
          <w:numId w:val="1022"/>
        </w:numPr>
        <w:pStyle w:val="Compact"/>
      </w:pPr>
      <w:r>
        <w:t xml:space="preserve">Investigate consolidated shipments to reduce per-unit impact for last-mile delivery.</w:t>
      </w:r>
    </w:p>
    <w:p>
      <w:pPr>
        <w:numPr>
          <w:ilvl w:val="0"/>
          <w:numId w:val="1018"/>
        </w:numPr>
        <w:pStyle w:val="Compact"/>
      </w:pPr>
      <w:r>
        <w:rPr>
          <w:bCs/>
          <w:b/>
        </w:rPr>
        <w:t xml:space="preserve">Manufacturing (11.4%):</w:t>
      </w:r>
      <w:r>
        <w:t xml:space="preserve"> </w:t>
      </w:r>
      <w:r>
        <w:t xml:space="preserve">Electricity consumption in the production facility.</w:t>
      </w:r>
    </w:p>
    <w:p>
      <w:pPr>
        <w:numPr>
          <w:ilvl w:val="1"/>
          <w:numId w:val="1023"/>
        </w:numPr>
        <w:pStyle w:val="Compact"/>
      </w:pPr>
      <w:r>
        <w:rPr>
          <w:bCs/>
          <w:b/>
        </w:rPr>
        <w:t xml:space="preserve">Recommendation:</w:t>
      </w:r>
    </w:p>
    <w:p>
      <w:pPr>
        <w:numPr>
          <w:ilvl w:val="2"/>
          <w:numId w:val="1024"/>
        </w:numPr>
        <w:pStyle w:val="Compact"/>
      </w:pPr>
      <w:r>
        <w:t xml:space="preserve">Increase renewable energy procurement to 100% for manufacturing facilities in China.</w:t>
      </w:r>
    </w:p>
    <w:p>
      <w:pPr>
        <w:numPr>
          <w:ilvl w:val="2"/>
          <w:numId w:val="1024"/>
        </w:numPr>
        <w:pStyle w:val="Compact"/>
      </w:pPr>
      <w:r>
        <w:t xml:space="preserve">Implement energy efficiency measures within the factory (e.g., optimize machinery, lighting, insulation).</w:t>
      </w:r>
    </w:p>
    <w:p>
      <w:pPr>
        <w:numPr>
          <w:ilvl w:val="2"/>
          <w:numId w:val="1024"/>
        </w:numPr>
        <w:pStyle w:val="Compact"/>
      </w:pPr>
      <w:r>
        <w:t xml:space="preserve">Invest in on-site renewable energy generation if feasible.</w:t>
      </w:r>
    </w:p>
    <w:p>
      <w:pPr>
        <w:numPr>
          <w:ilvl w:val="0"/>
          <w:numId w:val="1018"/>
        </w:numPr>
        <w:pStyle w:val="Compact"/>
      </w:pPr>
      <w:r>
        <w:rPr>
          <w:bCs/>
          <w:b/>
        </w:rPr>
        <w:t xml:space="preserve">Materials Acquisition (7.5%):</w:t>
      </w:r>
      <w:r>
        <w:t xml:space="preserve"> </w:t>
      </w:r>
      <w:r>
        <w:t xml:space="preserve">The embodied carbon in raw materials.</w:t>
      </w:r>
    </w:p>
    <w:p>
      <w:pPr>
        <w:numPr>
          <w:ilvl w:val="1"/>
          <w:numId w:val="1025"/>
        </w:numPr>
        <w:pStyle w:val="Compact"/>
      </w:pPr>
      <w:r>
        <w:rPr>
          <w:bCs/>
          <w:b/>
        </w:rPr>
        <w:t xml:space="preserve">Recommendation:</w:t>
      </w:r>
    </w:p>
    <w:p>
      <w:pPr>
        <w:numPr>
          <w:ilvl w:val="2"/>
          <w:numId w:val="1026"/>
        </w:numPr>
        <w:pStyle w:val="Compact"/>
      </w:pPr>
      <w:r>
        <w:t xml:space="preserve">Source materials with lower embodied carbon (e.g., recycled content, certified sustainable materials).</w:t>
      </w:r>
    </w:p>
    <w:p>
      <w:pPr>
        <w:numPr>
          <w:ilvl w:val="2"/>
          <w:numId w:val="1026"/>
        </w:numPr>
        <w:pStyle w:val="Compact"/>
      </w:pPr>
      <w:r>
        <w:t xml:space="preserve">Optimize material usage to reduce waste.</w:t>
      </w:r>
    </w:p>
    <w:p>
      <w:pPr>
        <w:numPr>
          <w:ilvl w:val="2"/>
          <w:numId w:val="1026"/>
        </w:numPr>
        <w:pStyle w:val="Compact"/>
      </w:pPr>
      <w:r>
        <w:t xml:space="preserve">Explore lightweighting opportunities without compromising product functionality.</w:t>
      </w:r>
    </w:p>
    <w:p>
      <w:pPr>
        <w:numPr>
          <w:ilvl w:val="0"/>
          <w:numId w:val="1018"/>
        </w:numPr>
        <w:pStyle w:val="Compact"/>
      </w:pPr>
      <w:r>
        <w:rPr>
          <w:bCs/>
          <w:b/>
        </w:rPr>
        <w:t xml:space="preserve">End-of-Life (Net negative):</w:t>
      </w:r>
      <w:r>
        <w:t xml:space="preserve"> </w:t>
      </w:r>
      <w:r>
        <w:t xml:space="preserve">The current recycling programs result in avoided emissions, indicating a positive impact.</w:t>
      </w:r>
    </w:p>
    <w:p>
      <w:pPr>
        <w:numPr>
          <w:ilvl w:val="1"/>
          <w:numId w:val="1027"/>
        </w:numPr>
        <w:pStyle w:val="Compact"/>
      </w:pPr>
      <w:r>
        <w:rPr>
          <w:bCs/>
          <w:b/>
        </w:rPr>
        <w:t xml:space="preserve">Recommendation:</w:t>
      </w:r>
    </w:p>
    <w:p>
      <w:pPr>
        <w:numPr>
          <w:ilvl w:val="2"/>
          <w:numId w:val="1028"/>
        </w:numPr>
        <w:pStyle w:val="Compact"/>
      </w:pPr>
      <w:r>
        <w:t xml:space="preserve">Continue to enhance recyclability and expand circular/take-back programs.</w:t>
      </w:r>
    </w:p>
    <w:p>
      <w:pPr>
        <w:numPr>
          <w:ilvl w:val="2"/>
          <w:numId w:val="1028"/>
        </w:numPr>
        <w:pStyle w:val="Compact"/>
      </w:pPr>
      <w:r>
        <w:t xml:space="preserve">Explore opportunities for repairability and refurbishment to extend product lifespan.</w:t>
      </w:r>
    </w:p>
    <w:p>
      <w:pPr>
        <w:numPr>
          <w:ilvl w:val="2"/>
          <w:numId w:val="1028"/>
        </w:numPr>
        <w:pStyle w:val="Compact"/>
      </w:pPr>
      <w:r>
        <w:t xml:space="preserve">Investigate technologies for higher-value material recovery.</w:t>
      </w:r>
    </w:p>
    <w:p>
      <w:r>
        <w:pict>
          <v:rect style="width:0;height:1.5pt" o:hralign="center" o:hrstd="t" o:hr="t"/>
        </w:pict>
      </w:r>
    </w:p>
    <w:bookmarkEnd w:id="43"/>
    <w:bookmarkStart w:id="44" w:name="limitations-and-future-work"/>
    <w:p>
      <w:pPr>
        <w:pStyle w:val="Heading2"/>
      </w:pPr>
      <w:r>
        <w:t xml:space="preserve">6. Limitations and Future Work</w:t>
      </w:r>
    </w:p>
    <w:p>
      <w:pPr>
        <w:pStyle w:val="FirstParagraph"/>
      </w:pPr>
      <w:r>
        <w:t xml:space="preserve">This analysis is based on a combination of primary data provided by vrtnmitmrm and secondary, representative emission factors. Key limitations include:</w:t>
      </w:r>
    </w:p>
    <w:p>
      <w:pPr>
        <w:numPr>
          <w:ilvl w:val="0"/>
          <w:numId w:val="1029"/>
        </w:numPr>
        <w:pStyle w:val="Compact"/>
      </w:pPr>
      <w:r>
        <w:rPr>
          <w:bCs/>
          <w:b/>
        </w:rPr>
        <w:t xml:space="preserve">Secondary Data Assumptions:</w:t>
      </w:r>
      <w:r>
        <w:t xml:space="preserve"> </w:t>
      </w:r>
      <w:r>
        <w:t xml:space="preserve">Illustrative emission factors were used for generic transport modes and grid mixes where specific data was not provided (e.g., exact transport carrier, specific European grid mix for use phase).</w:t>
      </w:r>
    </w:p>
    <w:p>
      <w:pPr>
        <w:numPr>
          <w:ilvl w:val="0"/>
          <w:numId w:val="1029"/>
        </w:numPr>
        <w:pStyle w:val="Compact"/>
      </w:pPr>
      <w:r>
        <w:rPr>
          <w:bCs/>
          <w:b/>
        </w:rPr>
        <w:t xml:space="preserve">Transport Mode Specificity:</w:t>
      </w:r>
      <w:r>
        <w:t xml:space="preserve"> </w:t>
      </w:r>
      <w:r>
        <w:t xml:space="preserve">"Select Mode" and "Delivery Type" were interpreted with common transport types (e.g., HGV, LCV); actual impacts may vary with specific vehicles and fuel types.</w:t>
      </w:r>
    </w:p>
    <w:p>
      <w:pPr>
        <w:numPr>
          <w:ilvl w:val="0"/>
          <w:numId w:val="1029"/>
        </w:numPr>
        <w:pStyle w:val="Compact"/>
      </w:pPr>
      <w:r>
        <w:rPr>
          <w:bCs/>
          <w:b/>
        </w:rPr>
        <w:t xml:space="preserve">Last-Mile Allocation:</w:t>
      </w:r>
      <w:r>
        <w:t xml:space="preserve"> </w:t>
      </w:r>
      <w:r>
        <w:t xml:space="preserve">The last-mile delivery impact was simplified; a more precise allocation would require data on average vehicle loading for LCVs.</w:t>
      </w:r>
    </w:p>
    <w:p>
      <w:pPr>
        <w:numPr>
          <w:ilvl w:val="0"/>
          <w:numId w:val="1029"/>
        </w:numPr>
        <w:pStyle w:val="Compact"/>
      </w:pPr>
      <w:r>
        <w:rPr>
          <w:bCs/>
          <w:b/>
        </w:rPr>
        <w:t xml:space="preserve">LSR Standard Application:</w:t>
      </w:r>
      <w:r>
        <w:t xml:space="preserve"> </w:t>
      </w:r>
      <w:r>
        <w:t xml:space="preserve">While the LSR standard is acknowledged, specific biogenic carbon flows related to land-use change for particular materials would require highly detailed primary data not available for this general analysis. Implicitly, generic material emission factors often include land-use impacts.</w:t>
      </w:r>
    </w:p>
    <w:p>
      <w:pPr>
        <w:pStyle w:val="FirstParagraph"/>
      </w:pPr>
      <w:r>
        <w:rPr>
          <w:bCs/>
          <w:b/>
        </w:rPr>
        <w:t xml:space="preserve">Future work should focus on:</w:t>
      </w:r>
    </w:p>
    <w:p>
      <w:pPr>
        <w:numPr>
          <w:ilvl w:val="0"/>
          <w:numId w:val="1030"/>
        </w:numPr>
        <w:pStyle w:val="Compact"/>
      </w:pPr>
      <w:r>
        <w:t xml:space="preserve">Collecting more granular primary data for transport (specific carrier, fuel, load factors).</w:t>
      </w:r>
    </w:p>
    <w:p>
      <w:pPr>
        <w:numPr>
          <w:ilvl w:val="0"/>
          <w:numId w:val="1030"/>
        </w:numPr>
        <w:pStyle w:val="Compact"/>
      </w:pPr>
      <w:r>
        <w:t xml:space="preserve">Obtaining regional-specific electricity grid mixes for the use phase.</w:t>
      </w:r>
    </w:p>
    <w:p>
      <w:pPr>
        <w:numPr>
          <w:ilvl w:val="0"/>
          <w:numId w:val="1030"/>
        </w:numPr>
        <w:pStyle w:val="Compact"/>
      </w:pPr>
      <w:r>
        <w:t xml:space="preserve">Conducting a deeper dive into the supply chain to identify further Scope 3 reduction opportunities.</w:t>
      </w:r>
    </w:p>
    <w:p>
      <w:pPr>
        <w:numPr>
          <w:ilvl w:val="0"/>
          <w:numId w:val="1030"/>
        </w:numPr>
        <w:pStyle w:val="Compact"/>
      </w:pPr>
      <w:r>
        <w:t xml:space="preserve">Performing sensitivity analysis to understand the impact of varying key parameters.</w:t>
      </w:r>
    </w:p>
    <w:p>
      <w:pPr>
        <w:pStyle w:val="FirstParagraph"/>
      </w:pPr>
      <w:r>
        <w:t xml:space="preserve">Confidential - Internal Use Only</w:t>
      </w:r>
    </w:p>
    <w:p>
      <w:pPr>
        <w:pStyle w:val="BodyText"/>
      </w:pPr>
      <w:r>
        <w:t xml:space="preserve">Page</w:t>
      </w:r>
      <w:r>
        <w:t xml:space="preserve"> </w:t>
      </w:r>
      <w:r>
        <w:t xml:space="preserve">1</w:t>
      </w:r>
      <w:r>
        <w:t xml:space="preserve"> </w:t>
      </w:r>
      <w:r>
        <w:t xml:space="preserve">of</w:t>
      </w:r>
      <w:r>
        <w:t xml:space="preserve"> </w:t>
      </w:r>
      <w:r>
        <w:t xml:space="preserve">X</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fpikfpwusp</dc:title>
  <dc:creator/>
  <dc:description>A high-detail Product Carbon Footprint (PCF) analysis report for fpikfpwusp by vrtnmitmrm, conducted by knpmlpyzuq according to the GHG Protocol.</dc:description>
  <cp:keywords/>
  <dcterms:created xsi:type="dcterms:W3CDTF">2026-07-15T11:36:48Z</dcterms:created>
  <dcterms:modified xsi:type="dcterms:W3CDTF">2026-07-15T11:36:48Z</dcterms:modified>
</cp:coreProperties>
</file>

<file path=docProps/custom.xml><?xml version="1.0" encoding="utf-8"?>
<Properties xmlns="http://schemas.openxmlformats.org/officeDocument/2006/custom-properties" xmlns:vt="http://schemas.openxmlformats.org/officeDocument/2006/docPropsVTypes"/>
</file>