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fpgmluuppf</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fpgmluuppf</w:t>
      </w:r>
    </w:p>
    <w:p>
      <w:pPr>
        <w:pStyle w:val="BodyText"/>
      </w:pPr>
      <w:r>
        <w:rPr>
          <w:bCs/>
          <w:b/>
        </w:rPr>
        <w:t xml:space="preserve">Name of the Company:</w:t>
      </w:r>
      <w:r>
        <w:t xml:space="preserve"> </w:t>
      </w:r>
      <w:r>
        <w:t xml:space="preserve">xtwhiryftl</w:t>
      </w:r>
    </w:p>
    <w:p>
      <w:pPr>
        <w:pStyle w:val="BodyText"/>
      </w:pPr>
      <w:r>
        <w:rPr>
          <w:bCs/>
          <w:b/>
        </w:rPr>
        <w:t xml:space="preserve">Senior Sustainability Consultant:</w:t>
      </w:r>
      <w:r>
        <w:t xml:space="preserve"> </w:t>
      </w:r>
      <w:r>
        <w:t xml:space="preserve">gmomglksws</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providing an estimation of the product\'s carbon footprint. Accuracy is dependent on the completeness and precision of input data.</w:t>
      </w:r>
    </w:p>
    <w:bookmarkEnd w:id="20"/>
    <w:bookmarkStart w:id="21" w:name="product-carbon-footprint-report-1"/>
    <w:p>
      <w:pPr>
        <w:pStyle w:val="Heading1"/>
      </w:pPr>
      <w:r>
        <w:t xml:space="preserve">Product Carbon Footprint Report</w:t>
      </w:r>
    </w:p>
    <w:p>
      <w:pPr>
        <w:pStyle w:val="FirstParagraph"/>
      </w:pPr>
      <w:r>
        <w:rPr>
          <w:bCs/>
          <w:b/>
        </w:rPr>
        <w:t xml:space="preserve">Product:</w:t>
      </w:r>
      <w:r>
        <w:t xml:space="preserve"> </w:t>
      </w:r>
      <w:r>
        <w:t xml:space="preserve">fpgmluuppf</w:t>
      </w:r>
    </w:p>
    <w:p>
      <w:pPr>
        <w:pStyle w:val="BodyText"/>
      </w:pPr>
      <w:r>
        <w:rPr>
          <w:bCs/>
          <w:b/>
        </w:rPr>
        <w:t xml:space="preserve">Generated Date:</w:t>
      </w:r>
      <w:r>
        <w:t xml:space="preserve"> </w:t>
      </w:r>
      <w:r>
        <w:t xml:space="preserve">June 1, 2026</w:t>
      </w:r>
    </w:p>
    <w:p>
      <w:pPr>
        <w:pStyle w:val="BodyText"/>
      </w:pPr>
      <w:r>
        <w:rPr>
          <w:bCs/>
          <w:b/>
        </w:rPr>
        <w:t xml:space="preserve">Company:</w:t>
      </w:r>
      <w:r>
        <w:t xml:space="preserve"> </w:t>
      </w:r>
      <w:r>
        <w:t xml:space="preserve">xtwhiryftl</w:t>
      </w:r>
    </w:p>
    <w:p>
      <w:pPr>
        <w:pStyle w:val="BodyText"/>
      </w:pPr>
      <w:r>
        <w:rPr>
          <w:bCs/>
          <w:b/>
        </w:rPr>
        <w:t xml:space="preserve">Senior Sustainability Consultant:</w:t>
      </w:r>
      <w:r>
        <w:t xml:space="preserve"> </w:t>
      </w:r>
      <w:r>
        <w:t xml:space="preserve">gmomglksws</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fpgmluuppf</w:t>
      </w:r>
      <w:r>
        <w:t xml:space="preserve">, manufactured by</w:t>
      </w:r>
      <w:r>
        <w:t xml:space="preserve"> </w:t>
      </w:r>
      <w:r>
        <w:rPr>
          <w:bCs/>
          <w:b/>
        </w:rPr>
        <w:t xml:space="preserve">xtwhiryftl</w:t>
      </w:r>
      <w:r>
        <w:t xml:space="preserve">. The assessment adheres strictly to the GHG Protocol accounting standard, incorporating the latest 2026 Land Sector and Removals (LSR) update and ensuring comprehensive Scope 3 coverage. As</w:t>
      </w:r>
      <w:r>
        <w:t xml:space="preserve"> </w:t>
      </w:r>
      <w:r>
        <w:rPr>
          <w:bCs/>
          <w:b/>
        </w:rPr>
        <w:t xml:space="preserve">gmomglksws</w:t>
      </w:r>
      <w:r>
        <w:t xml:space="preserve">, Senior Sustainability Consultant, this analysis provides an estimation of the greenhouse gas emissions associated with the product\'s lifecycle, from raw material extraction to end-of-life, with a specific system boundary of \'factory_gate\' for the initial assessment and expanding to cover the full lifecycle. Key emission hotspots are identified, offering actionable insights for emission reduction strategies.</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This PCF analysis is conducted in accordance with the following methodology and parameters:</w:t>
      </w:r>
    </w:p>
    <w:bookmarkStart w:id="23" w:name="accounting-standard"/>
    <w:p>
      <w:pPr>
        <w:pStyle w:val="Heading3"/>
      </w:pPr>
      <w:r>
        <w:t xml:space="preserve">1.1. Accounting Standard</w:t>
      </w:r>
    </w:p>
    <w:p>
      <w:pPr>
        <w:numPr>
          <w:ilvl w:val="0"/>
          <w:numId w:val="1001"/>
        </w:numPr>
        <w:pStyle w:val="Compact"/>
      </w:pPr>
      <w:r>
        <w:rPr>
          <w:bCs/>
          <w:b/>
        </w:rPr>
        <w:t xml:space="preserve">Accounting Standard:</w:t>
      </w:r>
      <w:r>
        <w:t xml:space="preserve"> </w:t>
      </w:r>
      <w:r>
        <w:t xml:space="preserve">GHG Protocol. Emissions are categorized into Scope 1 (direct emissions), Scope 2 (indirect emissions from purchased energy), and Scope 3 (all other indirect emissions within the value chain).</w:t>
      </w:r>
    </w:p>
    <w:p>
      <w:pPr>
        <w:numPr>
          <w:ilvl w:val="0"/>
          <w:numId w:val="1001"/>
        </w:numPr>
        <w:pStyle w:val="Compact"/>
      </w:pPr>
      <w:r>
        <w:rPr>
          <w:bCs/>
          <w:b/>
        </w:rPr>
        <w:t xml:space="preserve">2026 LSR Update:</w:t>
      </w:r>
      <w:r>
        <w:t xml:space="preserve"> </w:t>
      </w:r>
      <w:r>
        <w:t xml:space="preserve">The Land Sector and Removals (LSR) Standard has been considered, particularly for any bio-based materials or land-use aspects, though direct data for these specific elements were not provided in detail. Its principles guide the approach to biogenic carbon.</w:t>
      </w:r>
    </w:p>
    <w:p>
      <w:pPr>
        <w:numPr>
          <w:ilvl w:val="0"/>
          <w:numId w:val="1001"/>
        </w:numPr>
        <w:pStyle w:val="Compact"/>
      </w:pPr>
      <w:r>
        <w:rPr>
          <w:bCs/>
          <w:b/>
        </w:rPr>
        <w:t xml:space="preserve">Scope 3 Compliance:</w:t>
      </w:r>
      <w:r>
        <w:t xml:space="preserve"> </w:t>
      </w:r>
      <w:r>
        <w:t xml:space="preserve">Every effort has been made to ensure at least 95% coverage for Scope 3 reporting, reflecting the 2026 requirements for comprehensive value chain emissions.</w:t>
      </w:r>
    </w:p>
    <w:bookmarkEnd w:id="23"/>
    <w:bookmarkStart w:id="24" w:name="scope-definition"/>
    <w:p>
      <w:pPr>
        <w:pStyle w:val="Heading3"/>
      </w:pPr>
      <w:r>
        <w:t xml:space="preserve">1.2. Scope Definition</w:t>
      </w:r>
    </w:p>
    <w:p>
      <w:pPr>
        <w:numPr>
          <w:ilvl w:val="0"/>
          <w:numId w:val="1002"/>
        </w:numPr>
        <w:pStyle w:val="Compact"/>
      </w:pPr>
      <w:r>
        <w:rPr>
          <w:bCs/>
          <w:b/>
        </w:rPr>
        <w:t xml:space="preserve">Functional Unit:</w:t>
      </w:r>
      <w:r>
        <w:t xml:space="preserve"> </w:t>
      </w:r>
      <w:r>
        <w:t xml:space="preserve">1.0 unit of fpgmluuppf. This serves as the reference basis for quantifying all inputs and outputs throughout the product\'s lifecycle.</w:t>
      </w:r>
    </w:p>
    <w:p>
      <w:pPr>
        <w:numPr>
          <w:ilvl w:val="0"/>
          <w:numId w:val="1002"/>
        </w:numPr>
        <w:pStyle w:val="Compact"/>
      </w:pPr>
      <w:r>
        <w:rPr>
          <w:bCs/>
          <w:b/>
        </w:rPr>
        <w:t xml:space="preserve">System Boundary:</w:t>
      </w:r>
      <w:r>
        <w:t xml:space="preserve"> </w:t>
      </w:r>
      <w:r>
        <w:t xml:space="preserve">factory_gate. For the initial manufacturing and upstream processes, this boundary encompasses all activities from raw material extraction and processing up to the point the finished product leaves the manufacturing facility. However, this report extends beyond the factory gate to include transport, use phase, and end-of-life for a holistic PCF.</w:t>
      </w:r>
    </w:p>
    <w:p>
      <w:pPr>
        <w:numPr>
          <w:ilvl w:val="0"/>
          <w:numId w:val="1002"/>
        </w:numPr>
        <w:pStyle w:val="Compact"/>
      </w:pPr>
      <w:r>
        <w:rPr>
          <w:bCs/>
          <w:b/>
        </w:rPr>
        <w:t xml:space="preserve">Geographic Scope:</w:t>
      </w:r>
      <w:r>
        <w:t xml:space="preserve"> </w:t>
      </w:r>
      <w:r>
        <w:t xml:space="preserve">Final Production Country: China, with a Supply Chain Focus: Europe Focused. This influences the selection of regional emission factors where applicable.</w:t>
      </w:r>
    </w:p>
    <w:p>
      <w:pPr>
        <w:numPr>
          <w:ilvl w:val="0"/>
          <w:numId w:val="1002"/>
        </w:numPr>
        <w:pStyle w:val="Compact"/>
      </w:pPr>
      <w:r>
        <w:rPr>
          <w:bCs/>
          <w:b/>
        </w:rPr>
        <w:t xml:space="preserve">Allocation:</w:t>
      </w:r>
      <w:r>
        <w:t xml:space="preserve"> </w:t>
      </w:r>
      <w:r>
        <w:t xml:space="preserve">Not explicitly defined in parameters for co-products; assumed to be based on mass or economic value where applicable, though no co-products were specified in the provided BOM.</w:t>
      </w:r>
    </w:p>
    <w:p>
      <w:r>
        <w:pict>
          <v:rect style="width:0;height:1.5pt" o:hralign="center" o:hrstd="t" o:hr="t"/>
        </w:pict>
      </w:r>
    </w:p>
    <w:bookmarkEnd w:id="24"/>
    <w:bookmarkEnd w:id="25"/>
    <w:bookmarkStart w:id="32" w:name="lifecycle-mapping-and-data-collection"/>
    <w:p>
      <w:pPr>
        <w:pStyle w:val="Heading2"/>
      </w:pPr>
      <w:r>
        <w:t xml:space="preserve">2. Lifecycle Mapping and Data Collection</w:t>
      </w:r>
    </w:p>
    <w:p>
      <w:pPr>
        <w:pStyle w:val="FirstParagraph"/>
      </w:pPr>
      <w:r>
        <w:t xml:space="preserve">The lifecycle of</w:t>
      </w:r>
      <w:r>
        <w:t xml:space="preserve"> </w:t>
      </w:r>
      <w:r>
        <w:rPr>
          <w:bCs/>
          <w:b/>
        </w:rPr>
        <w:t xml:space="preserve">fpgmluuppf</w:t>
      </w:r>
      <w:r>
        <w:t xml:space="preserve"> </w:t>
      </w:r>
      <w:r>
        <w:t xml:space="preserve">is mapped across key stages, and data is collected from primary sources (provided parameters) and secondary sources (industry-standard emission factors where specific data was not available).</w:t>
      </w:r>
    </w:p>
    <w:bookmarkStart w:id="26" w:name="lifecycle-inventory-stages"/>
    <w:p>
      <w:pPr>
        <w:pStyle w:val="Heading3"/>
      </w:pPr>
      <w:r>
        <w:t xml:space="preserve">2.1. Lifecycle Inventory Stages</w:t>
      </w:r>
    </w:p>
    <w:p>
      <w:pPr>
        <w:pStyle w:val="FirstParagraph"/>
      </w:pPr>
      <w:r>
        <w:t xml:space="preserve">The following stages are considered for the PCF analysis:</w:t>
      </w:r>
    </w:p>
    <w:p>
      <w:pPr>
        <w:numPr>
          <w:ilvl w:val="0"/>
          <w:numId w:val="1003"/>
        </w:numPr>
        <w:pStyle w:val="Compact"/>
      </w:pPr>
      <w:r>
        <w:rPr>
          <w:bCs/>
          <w:b/>
        </w:rPr>
        <w:t xml:space="preserve">Material Acquisition &amp; Pre-processing (Cradle-to-Gate):</w:t>
      </w:r>
      <w:r>
        <w:t xml:space="preserve"> </w:t>
      </w:r>
      <w:r>
        <w:t xml:space="preserve">Extraction, processing, and manufacturing of raw materials.</w:t>
      </w:r>
    </w:p>
    <w:p>
      <w:pPr>
        <w:numPr>
          <w:ilvl w:val="0"/>
          <w:numId w:val="1003"/>
        </w:numPr>
        <w:pStyle w:val="Compact"/>
      </w:pPr>
      <w:r>
        <w:rPr>
          <w:bCs/>
          <w:b/>
        </w:rPr>
        <w:t xml:space="preserve">Production/Manufacturing:</w:t>
      </w:r>
      <w:r>
        <w:t xml:space="preserve"> </w:t>
      </w:r>
      <w:r>
        <w:t xml:space="preserve">Energy consumption and direct emissions at the production facility in China.</w:t>
      </w:r>
    </w:p>
    <w:p>
      <w:pPr>
        <w:numPr>
          <w:ilvl w:val="0"/>
          <w:numId w:val="1003"/>
        </w:numPr>
        <w:pStyle w:val="Compact"/>
      </w:pPr>
      <w:r>
        <w:rPr>
          <w:bCs/>
          <w:b/>
        </w:rPr>
        <w:t xml:space="preserve">Transport (Upstream &amp; Downstream):</w:t>
      </w:r>
      <w:r>
        <w:t xml:space="preserve"> </w:t>
      </w:r>
      <w:r>
        <w:t xml:space="preserve">Transportation of raw materials to the factory, and finished goods to the customer.</w:t>
      </w:r>
    </w:p>
    <w:p>
      <w:pPr>
        <w:numPr>
          <w:ilvl w:val="0"/>
          <w:numId w:val="1003"/>
        </w:numPr>
        <w:pStyle w:val="Compact"/>
      </w:pPr>
      <w:r>
        <w:rPr>
          <w:bCs/>
          <w:b/>
        </w:rPr>
        <w:t xml:space="preserve">Use Phase:</w:t>
      </w:r>
      <w:r>
        <w:t xml:space="preserve"> </w:t>
      </w:r>
      <w:r>
        <w:t xml:space="preserve">Energy consumption during the product\'s lifespan.</w:t>
      </w:r>
    </w:p>
    <w:p>
      <w:pPr>
        <w:numPr>
          <w:ilvl w:val="0"/>
          <w:numId w:val="1003"/>
        </w:numPr>
        <w:pStyle w:val="Compact"/>
      </w:pPr>
      <w:r>
        <w:rPr>
          <w:bCs/>
          <w:b/>
        </w:rPr>
        <w:t xml:space="preserve">End-of-Life (EoL):</w:t>
      </w:r>
      <w:r>
        <w:t xml:space="preserve"> </w:t>
      </w:r>
      <w:r>
        <w:t xml:space="preserve">Disposal, recycling, or recovery processes for the product.</w:t>
      </w:r>
    </w:p>
    <w:bookmarkEnd w:id="26"/>
    <w:bookmarkStart w:id="27" w:name="X26628a0193236d125413a42c846e886bde38f9c"/>
    <w:p>
      <w:pPr>
        <w:pStyle w:val="Heading3"/>
      </w:pPr>
      <w:r>
        <w:t xml:space="preserve">2.2. Data Collection - Detailed Bill of Materials (BOM)</w:t>
      </w:r>
    </w:p>
    <w:p>
      <w:pPr>
        <w:pStyle w:val="FirstParagraph"/>
      </w:pPr>
      <w:r>
        <w:t xml:space="preserve">The detailed Bill of Materials (BOM) for</w:t>
      </w:r>
      <w:r>
        <w:t xml:space="preserve"> </w:t>
      </w:r>
      <w:r>
        <w:rPr>
          <w:bCs/>
          <w:b/>
        </w:rPr>
        <w:t xml:space="preserve">xroqtdrl</w:t>
      </w:r>
      <w:r>
        <w:t xml:space="preserve"> </w:t>
      </w:r>
      <w:r>
        <w:t xml:space="preserve">provides high-accuracy material impact data. The "Total Carbon" value for each item, explicitly provided, has been directly used for material acquisition emissions.</w:t>
      </w:r>
    </w:p>
    <w:p>
      <w:pPr>
        <w:pStyle w:val="BodyText"/>
      </w:pPr>
      <w:r>
        <w:rPr>
          <w:bCs/>
          <w:b/>
        </w:rPr>
        <w:t xml:space="preserve">Detailed BOM (xroqtdrl) and Material Emissions (Scope 3 - Upstream):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2.75 kgCO2e</w:t>
            </w:r>
          </w:p>
        </w:tc>
      </w:tr>
    </w:tbl>
    <w:p>
      <w:pPr>
        <w:pStyle w:val="BodyText"/>
      </w:pPr>
      <w:r>
        <w:rPr>
          <w:iCs/>
          <w:i/>
        </w:rPr>
        <w:t xml:space="preserve">Note: The "Emission Factor" column reflects the per-unit emission factor used to derive the "Total Carbon" for each BOM item, as provided in the input. The sum of "Total Carbon" directly contributes to the upstream Scope 3 emissions. Total product weight derived from BOM quantities (0.5 + 0.2 + 0.1 + 0.05) is 0.85 kg.</w:t>
      </w:r>
    </w:p>
    <w:bookmarkEnd w:id="27"/>
    <w:bookmarkStart w:id="28" w:name="data-collection---production-energy"/>
    <w:p>
      <w:pPr>
        <w:pStyle w:val="Heading3"/>
      </w:pPr>
      <w:r>
        <w:t xml:space="preserve">2.3. Data Collection - Production Energy</w:t>
      </w:r>
    </w:p>
    <w:p>
      <w:pPr>
        <w:numPr>
          <w:ilvl w:val="0"/>
          <w:numId w:val="1004"/>
        </w:numPr>
        <w:pStyle w:val="Compact"/>
      </w:pPr>
      <w:r>
        <w:rPr>
          <w:bCs/>
          <w:b/>
        </w:rPr>
        <w:t xml:space="preserve">Renewable Energy Usage:</w:t>
      </w:r>
      <w:r>
        <w:t xml:space="preserve"> </w:t>
      </w:r>
      <w:r>
        <w:t xml:space="preserve">yuensnrtoi (e.g., assumed 45%)</w:t>
      </w:r>
    </w:p>
    <w:p>
      <w:pPr>
        <w:numPr>
          <w:ilvl w:val="0"/>
          <w:numId w:val="1004"/>
        </w:numPr>
        <w:pStyle w:val="Compact"/>
      </w:pPr>
      <w:r>
        <w:rPr>
          <w:bCs/>
          <w:b/>
        </w:rPr>
        <w:t xml:space="preserve">Energy Intensity (kWh/unit):</w:t>
      </w:r>
      <w:r>
        <w:t xml:space="preserve"> </w:t>
      </w:r>
      <w:r>
        <w:t xml:space="preserve">jvszlwmvon (e.g., assumed 3.2 kWh/unit)</w:t>
      </w:r>
    </w:p>
    <w:p>
      <w:pPr>
        <w:numPr>
          <w:ilvl w:val="0"/>
          <w:numId w:val="1004"/>
        </w:numPr>
        <w:pStyle w:val="Compact"/>
      </w:pPr>
      <w:r>
        <w:rPr>
          <w:bCs/>
          <w:b/>
        </w:rPr>
        <w:t xml:space="preserve">Geographic Scope (Production):</w:t>
      </w:r>
      <w:r>
        <w:t xml:space="preserve"> </w:t>
      </w:r>
      <w:r>
        <w:t xml:space="preserve">China. A generic grid electricity emission factor for China (assumed 0.6 kgCO2e/kWh) will be used for the non-renewable portion of energy consumption.</w:t>
      </w:r>
    </w:p>
    <w:bookmarkEnd w:id="28"/>
    <w:bookmarkStart w:id="29" w:name="data-collection---logistics"/>
    <w:p>
      <w:pPr>
        <w:pStyle w:val="Heading3"/>
      </w:pPr>
      <w:r>
        <w:t xml:space="preserve">2.4. Data Collection - Logistics</w:t>
      </w:r>
    </w:p>
    <w:p>
      <w:pPr>
        <w:numPr>
          <w:ilvl w:val="0"/>
          <w:numId w:val="1005"/>
        </w:numPr>
        <w:pStyle w:val="Compact"/>
      </w:pPr>
      <w:r>
        <w:rPr>
          <w:bCs/>
          <w:b/>
        </w:rPr>
        <w:t xml:space="preserve">Transport Mode:</w:t>
      </w:r>
      <w:r>
        <w:t xml:space="preserve"> </w:t>
      </w:r>
      <w:r>
        <w:t xml:space="preserve">Select Mode (e.g., assumed Ocean Freight)</w:t>
      </w:r>
    </w:p>
    <w:p>
      <w:pPr>
        <w:numPr>
          <w:ilvl w:val="0"/>
          <w:numId w:val="1005"/>
        </w:numPr>
        <w:pStyle w:val="Compact"/>
      </w:pPr>
      <w:r>
        <w:rPr>
          <w:bCs/>
          <w:b/>
        </w:rPr>
        <w:t xml:space="preserve">Transport Distance:</w:t>
      </w:r>
      <w:r>
        <w:t xml:space="preserve"> </w:t>
      </w:r>
      <w:r>
        <w:t xml:space="preserve">sumfuotyuj (e.g., assumed 8000 km for ocean freight)</w:t>
      </w:r>
    </w:p>
    <w:p>
      <w:pPr>
        <w:numPr>
          <w:ilvl w:val="0"/>
          <w:numId w:val="1005"/>
        </w:numPr>
        <w:pStyle w:val="Compact"/>
      </w:pPr>
      <w:r>
        <w:rPr>
          <w:bCs/>
          <w:b/>
        </w:rPr>
        <w:t xml:space="preserve">Last-Mile Delivery Channel:</w:t>
      </w:r>
      <w:r>
        <w:t xml:space="preserve"> </w:t>
      </w:r>
      <w:r>
        <w:t xml:space="preserve">Delivery Type (e.g., assumed Road Freight (Van))</w:t>
      </w:r>
    </w:p>
    <w:p>
      <w:pPr>
        <w:numPr>
          <w:ilvl w:val="0"/>
          <w:numId w:val="1005"/>
        </w:numPr>
        <w:pStyle w:val="Compact"/>
      </w:pPr>
      <w:r>
        <w:rPr>
          <w:bCs/>
          <w:b/>
        </w:rPr>
        <w:t xml:space="preserve">Last-Mile Delivery Distance:</w:t>
      </w:r>
      <w:r>
        <w:t xml:space="preserve"> </w:t>
      </w:r>
      <w:r>
        <w:t xml:space="preserve">(e.g., assumed 500 km for road freight)</w:t>
      </w:r>
    </w:p>
    <w:p>
      <w:pPr>
        <w:numPr>
          <w:ilvl w:val="0"/>
          <w:numId w:val="1005"/>
        </w:numPr>
        <w:pStyle w:val="Compact"/>
      </w:pPr>
      <w:r>
        <w:rPr>
          <w:bCs/>
          <w:b/>
        </w:rPr>
        <w:t xml:space="preserve">Emission Factors (assumed):</w:t>
      </w:r>
      <w:r>
        <w:t xml:space="preserve"> </w:t>
      </w:r>
      <w:r>
        <w:t xml:space="preserve">Ocean Freight: 0.01 kgCO2e/tkm; Road Freight (Van): 0.1 kgCO2e/tkm.</w:t>
      </w:r>
    </w:p>
    <w:bookmarkEnd w:id="29"/>
    <w:bookmarkStart w:id="30" w:name="data-collection---use-phase"/>
    <w:p>
      <w:pPr>
        <w:pStyle w:val="Heading3"/>
      </w:pPr>
      <w:r>
        <w:t xml:space="preserve">2.5. Data Collection - Use Phase</w:t>
      </w:r>
    </w:p>
    <w:p>
      <w:pPr>
        <w:numPr>
          <w:ilvl w:val="0"/>
          <w:numId w:val="1006"/>
        </w:numPr>
        <w:pStyle w:val="Compact"/>
      </w:pPr>
      <w:r>
        <w:rPr>
          <w:bCs/>
          <w:b/>
        </w:rPr>
        <w:t xml:space="preserve">Product Lifespan:</w:t>
      </w:r>
      <w:r>
        <w:t xml:space="preserve"> </w:t>
      </w:r>
      <w:r>
        <w:t xml:space="preserve">xoujnuqvrv (e.g., assumed 7 years)</w:t>
      </w:r>
    </w:p>
    <w:p>
      <w:pPr>
        <w:numPr>
          <w:ilvl w:val="0"/>
          <w:numId w:val="1006"/>
        </w:numPr>
        <w:pStyle w:val="Compact"/>
      </w:pPr>
      <w:r>
        <w:rPr>
          <w:bCs/>
          <w:b/>
        </w:rPr>
        <w:t xml:space="preserve">Energy Consumption in Use:</w:t>
      </w:r>
      <w:r>
        <w:t xml:space="preserve"> </w:t>
      </w:r>
      <w:r>
        <w:t xml:space="preserve">dujrtxlvyp (e.g., assumed 8 kWh/year)</w:t>
      </w:r>
    </w:p>
    <w:p>
      <w:pPr>
        <w:numPr>
          <w:ilvl w:val="0"/>
          <w:numId w:val="1006"/>
        </w:numPr>
        <w:pStyle w:val="Compact"/>
      </w:pPr>
      <w:r>
        <w:rPr>
          <w:bCs/>
          <w:b/>
        </w:rPr>
        <w:t xml:space="preserve">Emission Factor (assumed):</w:t>
      </w:r>
      <w:r>
        <w:t xml:space="preserve"> </w:t>
      </w:r>
      <w:r>
        <w:t xml:space="preserve">Generic electricity emission factor for the use phase (e.g., 0.4 kgCO2e/kWh, global average).</w:t>
      </w:r>
    </w:p>
    <w:bookmarkEnd w:id="30"/>
    <w:bookmarkStart w:id="31" w:name="data-collection---end-of-life-eol"/>
    <w:p>
      <w:pPr>
        <w:pStyle w:val="Heading3"/>
      </w:pPr>
      <w:r>
        <w:t xml:space="preserve">2.6. Data Collection - End-of-Life (EoL)</w:t>
      </w:r>
    </w:p>
    <w:p>
      <w:pPr>
        <w:numPr>
          <w:ilvl w:val="0"/>
          <w:numId w:val="1007"/>
        </w:numPr>
        <w:pStyle w:val="Compact"/>
      </w:pPr>
      <w:r>
        <w:rPr>
          <w:bCs/>
          <w:b/>
        </w:rPr>
        <w:t xml:space="preserve">Recyclability Percentage:</w:t>
      </w:r>
      <w:r>
        <w:t xml:space="preserve"> </w:t>
      </w:r>
      <w:r>
        <w:t xml:space="preserve">qjtqpgzpvh (e.g., assumed 70%)</w:t>
      </w:r>
    </w:p>
    <w:p>
      <w:pPr>
        <w:numPr>
          <w:ilvl w:val="0"/>
          <w:numId w:val="1007"/>
        </w:numPr>
        <w:pStyle w:val="Compact"/>
      </w:pPr>
      <w:r>
        <w:rPr>
          <w:bCs/>
          <w:b/>
        </w:rPr>
        <w:t xml:space="preserve">Circular/Take-back Programs:</w:t>
      </w:r>
      <w:r>
        <w:t xml:space="preserve"> </w:t>
      </w:r>
      <w:r>
        <w:t xml:space="preserve">uilyjknvrt (e.g., assumed \'Yes, actively managed\')</w:t>
      </w:r>
    </w:p>
    <w:p>
      <w:pPr>
        <w:numPr>
          <w:ilvl w:val="0"/>
          <w:numId w:val="1007"/>
        </w:numPr>
        <w:pStyle w:val="Compact"/>
      </w:pPr>
      <w:r>
        <w:rPr>
          <w:bCs/>
          <w:b/>
        </w:rPr>
        <w:t xml:space="preserve">Emission Factors (assumed):</w:t>
      </w:r>
      <w:r>
        <w:t xml:space="preserve"> </w:t>
      </w:r>
      <w:r>
        <w:t xml:space="preserve">Landfill/Incineration: 0.5 kgCO2e/kg; Recycling Credit: -0.8 kgCO2e/kg.</w:t>
      </w:r>
    </w:p>
    <w:p>
      <w:r>
        <w:pict>
          <v:rect style="width:0;height:1.5pt" o:hralign="center" o:hrstd="t" o:hr="t"/>
        </w:pict>
      </w:r>
    </w:p>
    <w:bookmarkEnd w:id="31"/>
    <w:bookmarkEnd w:id="32"/>
    <w:bookmarkStart w:id="39" w:name="X4eff67be3228dc1408ba045ea13b0013a3b5f0b"/>
    <w:p>
      <w:pPr>
        <w:pStyle w:val="Heading2"/>
      </w:pPr>
      <w:r>
        <w:t xml:space="preserve">3. Emissions Calculation and GHG Protocol Categorization</w:t>
      </w:r>
    </w:p>
    <w:p>
      <w:pPr>
        <w:pStyle w:val="FirstParagraph"/>
      </w:pPr>
      <w:r>
        <w:t xml:space="preserve">Emissions for each lifecycle stage are calculated as Activity Data multiplied by an appropriate Emission Factor (EF). These are then categorized according to the GHG Protocol\'s Scope 1, 2, and 3.</w:t>
      </w:r>
    </w:p>
    <w:p>
      <w:pPr>
        <w:pStyle w:val="BodyText"/>
      </w:pPr>
      <w:r>
        <w:rPr>
          <w:iCs/>
          <w:i/>
        </w:rPr>
        <w:t xml:space="preserve">Note on placeholder values: The parameters provided in the prompt (e.g., sumfuotyuj, yuensnrtoi, jvszlwmvon, xoujnuqvrv, dujrtxlvyp, qjtqpgzpvh) were provided as string placeholders. To perform illustrative calculations, specific numerical values have been *assumed* for these placeholders and clearly stated in the previous section. Actual calculations would require the precise numerical data. Emission factors for transport, production energy (grid mix), use phase energy, and end-of-life scenarios are generic industry averages (e.g., from Ecoinvent/DEFRA equivalents) used for demonstration.</w:t>
      </w:r>
    </w:p>
    <w:bookmarkStart w:id="33" w:name="scope-1-emissions-direct-emissions"/>
    <w:p>
      <w:pPr>
        <w:pStyle w:val="Heading3"/>
      </w:pPr>
      <w:r>
        <w:t xml:space="preserve">3.1. Scope 1 Emissions (Direct Emissions)</w:t>
      </w:r>
    </w:p>
    <w:p>
      <w:pPr>
        <w:pStyle w:val="FirstParagraph"/>
      </w:pPr>
      <w:r>
        <w:t xml:space="preserve">Scope 1 emissions pertain to direct GHG emissions from sources owned or controlled by</w:t>
      </w:r>
      <w:r>
        <w:t xml:space="preserve"> </w:t>
      </w:r>
      <w:r>
        <w:rPr>
          <w:bCs/>
          <w:b/>
        </w:rPr>
        <w:t xml:space="preserve">xtwhiryftl</w:t>
      </w:r>
      <w:r>
        <w:t xml:space="preserve">.</w:t>
      </w:r>
    </w:p>
    <w:p>
      <w:pPr>
        <w:numPr>
          <w:ilvl w:val="0"/>
          <w:numId w:val="1008"/>
        </w:numPr>
        <w:pStyle w:val="Compact"/>
      </w:pPr>
      <w:r>
        <w:t xml:space="preserve">For this product, direct combustion or process emissions not related to purchased energy are assumed to be negligible unless specific data on manufacturing processes (e.g., chemical reactions releasing GHGs) were provided.</w:t>
      </w:r>
    </w:p>
    <w:p>
      <w:pPr>
        <w:numPr>
          <w:ilvl w:val="0"/>
          <w:numId w:val="1008"/>
        </w:numPr>
        <w:pStyle w:val="Compact"/>
      </w:pPr>
      <w:r>
        <w:rPr>
          <w:bCs/>
          <w:b/>
        </w:rPr>
        <w:t xml:space="preserve">Calculated Scope 1 Emissions: 0.00 kgCO2e</w:t>
      </w:r>
      <w:r>
        <w:t xml:space="preserve"> </w:t>
      </w:r>
      <w:r>
        <w:t xml:space="preserve">(Based on available parameters, no specific direct process emissions identified beyond energy consumption, which falls under Scope 2 or 3).</w:t>
      </w:r>
    </w:p>
    <w:bookmarkEnd w:id="33"/>
    <w:bookmarkStart w:id="34" w:name="X1bd5ed5ba51603fe7fc5fd46de6dc3081dfffbb"/>
    <w:p>
      <w:pPr>
        <w:pStyle w:val="Heading3"/>
      </w:pPr>
      <w:r>
        <w:t xml:space="preserve">3.2. Scope 2 Emissions (Indirect Emissions from Purchased Energy)</w:t>
      </w:r>
    </w:p>
    <w:p>
      <w:pPr>
        <w:pStyle w:val="FirstParagraph"/>
      </w:pPr>
      <w:r>
        <w:t xml:space="preserve">Scope 2 emissions are from the generation of purchased electricity, steam, heating, or cooling consumed by the reporting company.</w:t>
      </w:r>
    </w:p>
    <w:p>
      <w:pPr>
        <w:numPr>
          <w:ilvl w:val="0"/>
          <w:numId w:val="1009"/>
        </w:numPr>
        <w:pStyle w:val="Compact"/>
      </w:pPr>
      <w:r>
        <w:rPr>
          <w:bCs/>
          <w:b/>
        </w:rPr>
        <w:t xml:space="preserve">Energy Intensity (jvszlwmvon):</w:t>
      </w:r>
      <w:r>
        <w:t xml:space="preserve"> </w:t>
      </w:r>
      <w:r>
        <w:t xml:space="preserve">3.2 kWh/unit (Assumed)</w:t>
      </w:r>
    </w:p>
    <w:p>
      <w:pPr>
        <w:numPr>
          <w:ilvl w:val="0"/>
          <w:numId w:val="1009"/>
        </w:numPr>
        <w:pStyle w:val="Compact"/>
      </w:pPr>
      <w:r>
        <w:rPr>
          <w:bCs/>
          <w:b/>
        </w:rPr>
        <w:t xml:space="preserve">Renewable Energy Usage (yuensnrtoi):</w:t>
      </w:r>
      <w:r>
        <w:t xml:space="preserve"> </w:t>
      </w:r>
      <w:r>
        <w:t xml:space="preserve">45% (Assumed 0.45)</w:t>
      </w:r>
    </w:p>
    <w:p>
      <w:pPr>
        <w:numPr>
          <w:ilvl w:val="0"/>
          <w:numId w:val="1009"/>
        </w:numPr>
        <w:pStyle w:val="Compact"/>
      </w:pPr>
      <w:r>
        <w:rPr>
          <w:bCs/>
          <w:b/>
        </w:rPr>
        <w:t xml:space="preserve">Non-renewable energy portion:</w:t>
      </w:r>
      <w:r>
        <w:t xml:space="preserve"> </w:t>
      </w:r>
      <w:r>
        <w:t xml:space="preserve">3.2 kWh/unit * (1 - 0.45) = 1.76 kWh/unit</w:t>
      </w:r>
    </w:p>
    <w:p>
      <w:pPr>
        <w:numPr>
          <w:ilvl w:val="0"/>
          <w:numId w:val="1009"/>
        </w:numPr>
        <w:pStyle w:val="Compact"/>
      </w:pPr>
      <w:r>
        <w:rPr>
          <w:bCs/>
          <w:b/>
        </w:rPr>
        <w:t xml:space="preserve">China Grid Electricity EF (assumed):</w:t>
      </w:r>
      <w:r>
        <w:t xml:space="preserve"> </w:t>
      </w:r>
      <w:r>
        <w:t xml:space="preserve">0.6 kgCO2e/kWh</w:t>
      </w:r>
    </w:p>
    <w:p>
      <w:pPr>
        <w:numPr>
          <w:ilvl w:val="0"/>
          <w:numId w:val="1009"/>
        </w:numPr>
        <w:pStyle w:val="Compact"/>
      </w:pPr>
      <w:r>
        <w:rPr>
          <w:bCs/>
          <w:b/>
        </w:rPr>
        <w:t xml:space="preserve">Calculated Scope 2 Emissions:</w:t>
      </w:r>
      <w:r>
        <w:t xml:space="preserve"> </w:t>
      </w:r>
      <w:r>
        <w:t xml:space="preserve">1.76 kWh/unit * 0.6 kgCO2e/kWh =</w:t>
      </w:r>
      <w:r>
        <w:t xml:space="preserve"> </w:t>
      </w:r>
      <w:r>
        <w:rPr>
          <w:bCs/>
          <w:b/>
        </w:rPr>
        <w:t xml:space="preserve">1.056 kgCO2e/unit</w:t>
      </w:r>
    </w:p>
    <w:bookmarkEnd w:id="34"/>
    <w:bookmarkStart w:id="37" w:name="X63db962e2fb7e75cee578b930259ee36b4fd88b"/>
    <w:p>
      <w:pPr>
        <w:pStyle w:val="Heading3"/>
      </w:pPr>
      <w:r>
        <w:t xml:space="preserve">3.3. Scope 3 Emissions (Other Indirect Emissions from the Value Chain)</w:t>
      </w:r>
    </w:p>
    <w:p>
      <w:pPr>
        <w:pStyle w:val="FirstParagraph"/>
      </w:pPr>
      <w:r>
        <w:t xml:space="preserve">Scope 3 emissions cover all other indirect emissions occurring in the value chain of</w:t>
      </w:r>
      <w:r>
        <w:t xml:space="preserve"> </w:t>
      </w:r>
      <w:r>
        <w:rPr>
          <w:bCs/>
          <w:b/>
        </w:rPr>
        <w:t xml:space="preserve">xtwhiryftl</w:t>
      </w:r>
      <w:r>
        <w:t xml:space="preserve">, both upstream and downstream. This category requires at least 95% coverage as per 2026 requirements.</w:t>
      </w:r>
    </w:p>
    <w:bookmarkStart w:id="35" w:name="upstream-emissions"/>
    <w:p>
      <w:pPr>
        <w:pStyle w:val="Heading4"/>
      </w:pPr>
      <w:r>
        <w:t xml:space="preserve">3.3.1. Upstream Emissions</w:t>
      </w:r>
    </w:p>
    <w:p>
      <w:pPr>
        <w:pStyle w:val="FirstParagraph"/>
      </w:pPr>
      <w:r>
        <w:t xml:space="preserve">These include emissions related to the production of purchased goods and services, and transportation of raw materials.</w:t>
      </w:r>
    </w:p>
    <w:p>
      <w:pPr>
        <w:numPr>
          <w:ilvl w:val="0"/>
          <w:numId w:val="1010"/>
        </w:numPr>
        <w:pStyle w:val="Compact"/>
      </w:pPr>
      <w:r>
        <w:rPr>
          <w:bCs/>
          <w:b/>
        </w:rPr>
        <w:t xml:space="preserve">Category 1: Purchased Goods and Services (Material Acquisition):</w:t>
      </w:r>
    </w:p>
    <w:p>
      <w:pPr>
        <w:numPr>
          <w:ilvl w:val="1"/>
          <w:numId w:val="1011"/>
        </w:numPr>
        <w:pStyle w:val="Compact"/>
      </w:pPr>
      <w:r>
        <w:t xml:space="preserve">Total Carbon from BOM (xroqtdrl): 2.75 kgCO2e/unit</w:t>
      </w:r>
    </w:p>
    <w:p>
      <w:pPr>
        <w:numPr>
          <w:ilvl w:val="1"/>
          <w:numId w:val="1011"/>
        </w:numPr>
        <w:pStyle w:val="Compact"/>
      </w:pPr>
      <w:r>
        <w:rPr>
          <w:bCs/>
          <w:b/>
        </w:rPr>
        <w:t xml:space="preserve">Subtotal: 2.75 kgCO2e/unit</w:t>
      </w:r>
    </w:p>
    <w:p>
      <w:pPr>
        <w:numPr>
          <w:ilvl w:val="0"/>
          <w:numId w:val="1010"/>
        </w:numPr>
        <w:pStyle w:val="Compact"/>
      </w:pPr>
      <w:r>
        <w:rPr>
          <w:bCs/>
          <w:b/>
        </w:rPr>
        <w:t xml:space="preserve">Category 4: Upstream Transportation and Distribution:</w:t>
      </w:r>
    </w:p>
    <w:p>
      <w:pPr>
        <w:numPr>
          <w:ilvl w:val="1"/>
          <w:numId w:val="1012"/>
        </w:numPr>
        <w:pStyle w:val="Compact"/>
      </w:pPr>
      <w:r>
        <w:t xml:space="preserve">Product Total Weight (from BOM): 0.85 kg (0.00085 tonnes)</w:t>
      </w:r>
    </w:p>
    <w:p>
      <w:pPr>
        <w:numPr>
          <w:ilvl w:val="1"/>
          <w:numId w:val="1012"/>
        </w:numPr>
        <w:pStyle w:val="Compact"/>
      </w:pPr>
      <w:r>
        <w:rPr>
          <w:bCs/>
          <w:b/>
        </w:rPr>
        <w:t xml:space="preserve">Ocean Freight (Select Mode):</w:t>
      </w:r>
    </w:p>
    <w:p>
      <w:pPr>
        <w:numPr>
          <w:ilvl w:val="2"/>
          <w:numId w:val="1013"/>
        </w:numPr>
        <w:pStyle w:val="Compact"/>
      </w:pPr>
      <w:r>
        <w:t xml:space="preserve">Distance (sumfuotyuj): 8000 km (Assumed)</w:t>
      </w:r>
    </w:p>
    <w:p>
      <w:pPr>
        <w:numPr>
          <w:ilvl w:val="2"/>
          <w:numId w:val="1013"/>
        </w:numPr>
        <w:pStyle w:val="Compact"/>
      </w:pPr>
      <w:r>
        <w:t xml:space="preserve">Emission Factor: 0.01 kgCO2e/tkm (Assumed)</w:t>
      </w:r>
    </w:p>
    <w:p>
      <w:pPr>
        <w:numPr>
          <w:ilvl w:val="2"/>
          <w:numId w:val="1013"/>
        </w:numPr>
        <w:pStyle w:val="Compact"/>
      </w:pPr>
      <w:r>
        <w:t xml:space="preserve">Emissions: 0.00085 tonnes * 8000 km * 0.01 kgCO2e/tkm = 0.068 kgCO2e/unit</w:t>
      </w:r>
    </w:p>
    <w:p>
      <w:pPr>
        <w:numPr>
          <w:ilvl w:val="1"/>
          <w:numId w:val="1012"/>
        </w:numPr>
        <w:pStyle w:val="Compact"/>
      </w:pPr>
      <w:r>
        <w:rPr>
          <w:bCs/>
          <w:b/>
        </w:rPr>
        <w:t xml:space="preserve">Last-Mile Delivery (Delivery Type - Road Freight):</w:t>
      </w:r>
    </w:p>
    <w:p>
      <w:pPr>
        <w:numPr>
          <w:ilvl w:val="2"/>
          <w:numId w:val="1014"/>
        </w:numPr>
        <w:pStyle w:val="Compact"/>
      </w:pPr>
      <w:r>
        <w:t xml:space="preserve">Distance: 500 km (Assumed)</w:t>
      </w:r>
    </w:p>
    <w:p>
      <w:pPr>
        <w:numPr>
          <w:ilvl w:val="2"/>
          <w:numId w:val="1014"/>
        </w:numPr>
        <w:pStyle w:val="Compact"/>
      </w:pPr>
      <w:r>
        <w:t xml:space="preserve">Emission Factor: 0.1 kgCO2e/tkm (Assumed)</w:t>
      </w:r>
    </w:p>
    <w:p>
      <w:pPr>
        <w:numPr>
          <w:ilvl w:val="2"/>
          <w:numId w:val="1014"/>
        </w:numPr>
        <w:pStyle w:val="Compact"/>
      </w:pPr>
      <w:r>
        <w:t xml:space="preserve">Emissions: 0.00085 tonnes * 500 km * 0.1 kgCO2e/tkm = 0.0425 kgCO2e/unit</w:t>
      </w:r>
    </w:p>
    <w:p>
      <w:pPr>
        <w:numPr>
          <w:ilvl w:val="1"/>
          <w:numId w:val="1012"/>
        </w:numPr>
        <w:pStyle w:val="Compact"/>
      </w:pPr>
      <w:r>
        <w:rPr>
          <w:bCs/>
          <w:b/>
        </w:rPr>
        <w:t xml:space="preserve">Subtotal: 0.068 + 0.0425 = 0.1105 kgCO2e/unit</w:t>
      </w:r>
    </w:p>
    <w:p>
      <w:pPr>
        <w:numPr>
          <w:ilvl w:val="0"/>
          <w:numId w:val="1010"/>
        </w:numPr>
        <w:pStyle w:val="Compact"/>
      </w:pPr>
      <w:r>
        <w:rPr>
          <w:bCs/>
          <w:b/>
        </w:rPr>
        <w:t xml:space="preserve">Total Upstream Scope 3 Emissions: 2.75 + 0.1105 = 2.8605 kgCO2e/unit</w:t>
      </w:r>
    </w:p>
    <w:bookmarkEnd w:id="35"/>
    <w:bookmarkStart w:id="36" w:name="downstream-emissions"/>
    <w:p>
      <w:pPr>
        <w:pStyle w:val="Heading4"/>
      </w:pPr>
      <w:r>
        <w:t xml:space="preserve">3.3.2. Downstream Emissions</w:t>
      </w:r>
    </w:p>
    <w:p>
      <w:pPr>
        <w:pStyle w:val="FirstParagraph"/>
      </w:pPr>
      <w:r>
        <w:t xml:space="preserve">These include emissions from the use of sold products and their end-of-life treatment.</w:t>
      </w:r>
    </w:p>
    <w:p>
      <w:pPr>
        <w:numPr>
          <w:ilvl w:val="0"/>
          <w:numId w:val="1015"/>
        </w:numPr>
        <w:pStyle w:val="Compact"/>
      </w:pPr>
      <w:r>
        <w:rPr>
          <w:bCs/>
          <w:b/>
        </w:rPr>
        <w:t xml:space="preserve">Category 11: Use of Sold Products (Energy Consumption in Use):</w:t>
      </w:r>
    </w:p>
    <w:p>
      <w:pPr>
        <w:numPr>
          <w:ilvl w:val="1"/>
          <w:numId w:val="1016"/>
        </w:numPr>
        <w:pStyle w:val="Compact"/>
      </w:pPr>
      <w:r>
        <w:t xml:space="preserve">Product Lifespan (xoujnuqvrv): 7 years (Assumed)</w:t>
      </w:r>
    </w:p>
    <w:p>
      <w:pPr>
        <w:numPr>
          <w:ilvl w:val="1"/>
          <w:numId w:val="1016"/>
        </w:numPr>
        <w:pStyle w:val="Compact"/>
      </w:pPr>
      <w:r>
        <w:t xml:space="preserve">Energy Consumption in Use (dujrtxlvyp): 8 kWh/year (Assumed)</w:t>
      </w:r>
    </w:p>
    <w:p>
      <w:pPr>
        <w:numPr>
          <w:ilvl w:val="1"/>
          <w:numId w:val="1016"/>
        </w:numPr>
        <w:pStyle w:val="Compact"/>
      </w:pPr>
      <w:r>
        <w:t xml:space="preserve">Total Use Phase Energy: 8 kWh/year * 7 years = 56 kWh/unit</w:t>
      </w:r>
    </w:p>
    <w:p>
      <w:pPr>
        <w:numPr>
          <w:ilvl w:val="1"/>
          <w:numId w:val="1016"/>
        </w:numPr>
        <w:pStyle w:val="Compact"/>
      </w:pPr>
      <w:r>
        <w:t xml:space="preserve">Generic Electricity EF (Use Phase - assumed): 0.4 kgCO2e/kWh</w:t>
      </w:r>
    </w:p>
    <w:p>
      <w:pPr>
        <w:numPr>
          <w:ilvl w:val="1"/>
          <w:numId w:val="1016"/>
        </w:numPr>
        <w:pStyle w:val="Compact"/>
      </w:pPr>
      <w:r>
        <w:t xml:space="preserve">Emissions: 56 kWh/unit * 0.4 kgCO2e/kWh = 22.4 kgCO2e/unit</w:t>
      </w:r>
    </w:p>
    <w:p>
      <w:pPr>
        <w:numPr>
          <w:ilvl w:val="1"/>
          <w:numId w:val="1016"/>
        </w:numPr>
        <w:pStyle w:val="Compact"/>
      </w:pPr>
      <w:r>
        <w:rPr>
          <w:bCs/>
          <w:b/>
        </w:rPr>
        <w:t xml:space="preserve">Subtotal: 22.4 kgCO2e/unit</w:t>
      </w:r>
    </w:p>
    <w:p>
      <w:pPr>
        <w:numPr>
          <w:ilvl w:val="0"/>
          <w:numId w:val="1015"/>
        </w:numPr>
        <w:pStyle w:val="Compact"/>
      </w:pPr>
      <w:r>
        <w:rPr>
          <w:bCs/>
          <w:b/>
        </w:rPr>
        <w:t xml:space="preserve">Category 12: End-of-Life Treatment of Sold Products:</w:t>
      </w:r>
    </w:p>
    <w:p>
      <w:pPr>
        <w:numPr>
          <w:ilvl w:val="1"/>
          <w:numId w:val="1017"/>
        </w:numPr>
        <w:pStyle w:val="Compact"/>
      </w:pPr>
      <w:r>
        <w:t xml:space="preserve">Product Total Weight: 0.85 kg</w:t>
      </w:r>
    </w:p>
    <w:p>
      <w:pPr>
        <w:numPr>
          <w:ilvl w:val="1"/>
          <w:numId w:val="1017"/>
        </w:numPr>
        <w:pStyle w:val="Compact"/>
      </w:pPr>
      <w:r>
        <w:t xml:space="preserve">Recyclability Percentage (qjtqpgzpvh): 70% (Assumed 0.70)</w:t>
      </w:r>
    </w:p>
    <w:p>
      <w:pPr>
        <w:numPr>
          <w:ilvl w:val="1"/>
          <w:numId w:val="1017"/>
        </w:numPr>
        <w:pStyle w:val="Compact"/>
      </w:pPr>
      <w:r>
        <w:t xml:space="preserve">Non-recycled portion: 0.85 kg * (1 - 0.70) = 0.255 kg</w:t>
      </w:r>
    </w:p>
    <w:p>
      <w:pPr>
        <w:numPr>
          <w:ilvl w:val="1"/>
          <w:numId w:val="1017"/>
        </w:numPr>
        <w:pStyle w:val="Compact"/>
      </w:pPr>
      <w:r>
        <w:t xml:space="preserve">Recycled portion: 0.85 kg * 0.70 = 0.595 kg</w:t>
      </w:r>
    </w:p>
    <w:p>
      <w:pPr>
        <w:numPr>
          <w:ilvl w:val="1"/>
          <w:numId w:val="1017"/>
        </w:numPr>
        <w:pStyle w:val="Compact"/>
      </w:pPr>
      <w:r>
        <w:t xml:space="preserve">Landfill/Incineration EF: 0.5 kgCO2e/kg (Assumed)</w:t>
      </w:r>
    </w:p>
    <w:p>
      <w:pPr>
        <w:numPr>
          <w:ilvl w:val="1"/>
          <w:numId w:val="1017"/>
        </w:numPr>
        <w:pStyle w:val="Compact"/>
      </w:pPr>
      <w:r>
        <w:t xml:space="preserve">Recycling Credit EF: -0.8 kgCO2e/kg (Assumed)</w:t>
      </w:r>
    </w:p>
    <w:p>
      <w:pPr>
        <w:numPr>
          <w:ilvl w:val="1"/>
          <w:numId w:val="1017"/>
        </w:numPr>
        <w:pStyle w:val="Compact"/>
      </w:pPr>
      <w:r>
        <w:t xml:space="preserve">Emissions from disposal: 0.255 kg * 0.5 kgCO2e/kg = 0.1275 kgCO2e/unit</w:t>
      </w:r>
    </w:p>
    <w:p>
      <w:pPr>
        <w:numPr>
          <w:ilvl w:val="1"/>
          <w:numId w:val="1017"/>
        </w:numPr>
        <w:pStyle w:val="Compact"/>
      </w:pPr>
      <w:r>
        <w:t xml:space="preserve">Emissions from recycling (credit): 0.595 kg * -0.8 kgCO2e/kg = -0.476 kgCO2e/unit</w:t>
      </w:r>
    </w:p>
    <w:p>
      <w:pPr>
        <w:numPr>
          <w:ilvl w:val="1"/>
          <w:numId w:val="1017"/>
        </w:numPr>
        <w:pStyle w:val="Compact"/>
      </w:pPr>
      <w:r>
        <w:t xml:space="preserve">Circular/Take-back Programs (uilyjknvrt): "Yes, actively managed". This indicates efforts to maximize recycling and reuse, reinforcing the impact of the recyclability percentage and potential for further reduction.</w:t>
      </w:r>
    </w:p>
    <w:p>
      <w:pPr>
        <w:numPr>
          <w:ilvl w:val="1"/>
          <w:numId w:val="1017"/>
        </w:numPr>
        <w:pStyle w:val="Compact"/>
      </w:pPr>
      <w:r>
        <w:rPr>
          <w:bCs/>
          <w:b/>
        </w:rPr>
        <w:t xml:space="preserve">Subtotal: 0.1275 - 0.476 = -0.3485 kgCO2e/unit</w:t>
      </w:r>
      <w:r>
        <w:t xml:space="preserve"> </w:t>
      </w:r>
      <w:r>
        <w:t xml:space="preserve">(Net saving due to high recyclability)</w:t>
      </w:r>
    </w:p>
    <w:p>
      <w:pPr>
        <w:numPr>
          <w:ilvl w:val="0"/>
          <w:numId w:val="1015"/>
        </w:numPr>
        <w:pStyle w:val="Compact"/>
      </w:pPr>
      <w:r>
        <w:rPr>
          <w:bCs/>
          <w:b/>
        </w:rPr>
        <w:t xml:space="preserve">Total Downstream Scope 3 Emissions: 22.4 - 0.3485 = 22.0515 kgCO2e/unit</w:t>
      </w:r>
    </w:p>
    <w:bookmarkEnd w:id="36"/>
    <w:bookmarkEnd w:id="37"/>
    <w:bookmarkStart w:id="38" w:name="total-product-carbon-footprint"/>
    <w:p>
      <w:pPr>
        <w:pStyle w:val="Heading3"/>
      </w:pPr>
      <w:r>
        <w:t xml:space="preserve">3.4. Total Product Carbon Footprint</w:t>
      </w:r>
    </w:p>
    <w:p>
      <w:pPr>
        <w:pStyle w:val="FirstParagraph"/>
      </w:pPr>
      <w:r>
        <w:t xml:space="preserve">Summation of all calculated emissions across the lifecycle stages:</w:t>
      </w:r>
    </w:p>
    <w:p>
      <w:pPr>
        <w:numPr>
          <w:ilvl w:val="0"/>
          <w:numId w:val="1018"/>
        </w:numPr>
        <w:pStyle w:val="Compact"/>
      </w:pPr>
      <w:r>
        <w:rPr>
          <w:bCs/>
          <w:b/>
        </w:rPr>
        <w:t xml:space="preserve">Total Scope 1 Emissions:</w:t>
      </w:r>
      <w:r>
        <w:t xml:space="preserve"> </w:t>
      </w:r>
      <w:r>
        <w:t xml:space="preserve">0.00 kgCO2e/unit</w:t>
      </w:r>
    </w:p>
    <w:p>
      <w:pPr>
        <w:numPr>
          <w:ilvl w:val="0"/>
          <w:numId w:val="1018"/>
        </w:numPr>
        <w:pStyle w:val="Compact"/>
      </w:pPr>
      <w:r>
        <w:rPr>
          <w:bCs/>
          <w:b/>
        </w:rPr>
        <w:t xml:space="preserve">Total Scope 2 Emissions:</w:t>
      </w:r>
      <w:r>
        <w:t xml:space="preserve"> </w:t>
      </w:r>
      <w:r>
        <w:t xml:space="preserve">1.056 kgCO2e/unit</w:t>
      </w:r>
    </w:p>
    <w:p>
      <w:pPr>
        <w:numPr>
          <w:ilvl w:val="0"/>
          <w:numId w:val="1018"/>
        </w:numPr>
        <w:pStyle w:val="Compact"/>
      </w:pPr>
      <w:r>
        <w:rPr>
          <w:bCs/>
          <w:b/>
        </w:rPr>
        <w:t xml:space="preserve">Total Scope 3 Emissions:</w:t>
      </w:r>
      <w:r>
        <w:t xml:space="preserve"> </w:t>
      </w:r>
      <w:r>
        <w:t xml:space="preserve">2.8605 (Upstream) + 22.0515 (Downstream) = 24.912 kgCO2e/unit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1.06</w:t>
            </w:r>
          </w:p>
        </w:tc>
      </w:tr>
      <w:tr>
        <w:tc>
          <w:tcPr>
            <w:vMerge w:val="restart"/>
          </w:tcPr>
          <w:p>
            <w:pPr>
              <w:pStyle w:val="Compact"/>
              <w:jc w:val="left"/>
            </w:pPr>
            <w:r>
              <w:t xml:space="preserve">Scope 3 (Upstream)</w:t>
            </w:r>
          </w:p>
        </w:tc>
        <w:tc>
          <w:tcPr/>
          <w:p>
            <w:pPr>
              <w:pStyle w:val="Compact"/>
              <w:jc w:val="left"/>
            </w:pPr>
            <w:r>
              <w:t xml:space="preserve">Raw Material Acquisition</w:t>
            </w:r>
          </w:p>
        </w:tc>
        <w:tc>
          <w:tcPr/>
          <w:p>
            <w:pPr>
              <w:pStyle w:val="Compact"/>
              <w:jc w:val="left"/>
            </w:pPr>
            <w:r>
              <w:t xml:space="preserve">2.75</w:t>
            </w:r>
          </w:p>
        </w:tc>
      </w:tr>
      <w:tr>
        <w:tc>
          <w:tcPr>
            <w:gridSpan w:val="1"/>
            <w:vMerge w:val="continue"/>
          </w:tcPr>
          <w:p>
            <w:pPr/>
          </w:p>
        </w:tc>
        <w:tc>
          <w:tcPr/>
          <w:p>
            <w:pPr>
              <w:pStyle w:val="Compact"/>
              <w:jc w:val="left"/>
            </w:pPr>
            <w:r>
              <w:t xml:space="preserve">Upstream Transportation</w:t>
            </w:r>
          </w:p>
        </w:tc>
        <w:tc>
          <w:tcPr/>
          <w:p>
            <w:pPr>
              <w:pStyle w:val="Compact"/>
              <w:jc w:val="left"/>
            </w:pPr>
            <w:r>
              <w:t xml:space="preserve">0.11</w:t>
            </w:r>
          </w:p>
        </w:tc>
      </w:tr>
      <w:tr>
        <w:tc>
          <w:tcPr>
            <w:gridSpan w:val="1"/>
            <w:vMerge w:val="continue"/>
          </w:tcPr>
          <w:p>
            <w:pPr/>
          </w:p>
        </w:tc>
        <w:tc>
          <w:tcPr>
            <w:gridSpan w:val="2"/>
          </w:tcPr>
          <w:p>
            <w:pPr>
              <w:pStyle w:val="Compact"/>
              <w:jc w:val="right"/>
            </w:pPr>
            <w:r>
              <w:t xml:space="preserve">Subtotal Scope 3 Upstream: 2.86</w:t>
            </w:r>
          </w:p>
        </w:tc>
      </w:tr>
      <w:tr>
        <w:tc>
          <w:tcPr>
            <w:gridSpan w:val="1"/>
            <w:vMerge w:val="continue"/>
          </w:tcPr>
          <w:p>
            <w:pPr/>
          </w:p>
        </w:tc>
        <w:tc>
          <w:tcPr>
            <w:vMerge w:val="restart"/>
          </w:tcPr>
          <w:p>
            <w:pPr>
              <w:pStyle w:val="Compact"/>
              <w:jc w:val="left"/>
            </w:pPr>
            <w:r>
              <w:t xml:space="preserve">Scope 3 (Downstream)</w:t>
            </w:r>
          </w:p>
        </w:tc>
        <w:tc>
          <w:tcPr/>
          <w:p>
            <w:pPr>
              <w:pStyle w:val="Compact"/>
              <w:jc w:val="left"/>
            </w:pPr>
            <w:r>
              <w:t xml:space="preserve">Use of Sold Product</w:t>
            </w:r>
          </w:p>
        </w:tc>
      </w:tr>
      <w:tr>
        <w:tc>
          <w:tcPr/>
          <w:p>
            <w:pPr>
              <w:pStyle w:val="Compact"/>
              <w:jc w:val="left"/>
            </w:pPr>
            <w:r>
              <w:t xml:space="preserve">End-of-Life Treatment</w:t>
            </w:r>
          </w:p>
        </w:tc>
        <w:tc>
          <w:tcPr>
            <w:gridSpan w:val="1"/>
            <w:vMerge w:val="continue"/>
          </w:tcPr>
          <w:p>
            <w:pPr/>
          </w:p>
        </w:tc>
        <w:tc>
          <w:tcPr/>
          <w:p>
            <w:pPr>
              <w:pStyle w:val="Compact"/>
              <w:jc w:val="left"/>
            </w:pPr>
            <w:r>
              <w:t xml:space="preserve">-0.35</w:t>
            </w:r>
          </w:p>
        </w:tc>
      </w:tr>
      <w:tr>
        <w:tc>
          <w:tcPr/>
          <w:p>
            <w:pPr>
              <w:pStyle w:val="Compact"/>
              <w:jc w:val="right"/>
            </w:pPr>
            <w:r>
              <w:t xml:space="preserve">Subtotal Scope 3 Downstream: 22.05</w:t>
            </w:r>
          </w:p>
        </w:tc>
        <w:tc>
          <w:tcPr>
            <w:gridSpan w:val="1"/>
            <w:vMerge w:val="continue"/>
          </w:tcPr>
          <w:p>
            <w:pPr/>
          </w:p>
        </w:tc>
        <w:tc>
          <w:tcPr/>
          <w:p>
            <w:pPr>
              <w:pStyle w:val="Compact"/>
            </w:pPr>
          </w:p>
        </w:tc>
      </w:tr>
      <w:tr>
        <w:tc>
          <w:tcPr>
            <w:gridSpan w:val="2"/>
          </w:tcPr>
          <w:p>
            <w:pPr>
              <w:pStyle w:val="Compact"/>
              <w:jc w:val="right"/>
            </w:pPr>
            <w:r>
              <w:t xml:space="preserve">TOTAL PRODUCT CARBON FOOTPRINT:</w:t>
            </w:r>
          </w:p>
        </w:tc>
        <w:tc>
          <w:tcPr/>
          <w:p>
            <w:pPr>
              <w:pStyle w:val="Compact"/>
              <w:jc w:val="left"/>
            </w:pPr>
            <w:r>
              <w:t xml:space="preserve">25.92 kgCO2e/unit</w:t>
            </w:r>
          </w:p>
        </w:tc>
      </w:tr>
    </w:tbl>
    <w:p>
      <w:r>
        <w:pict>
          <v:rect style="width:0;height:1.5pt" o:hralign="center" o:hrstd="t" o:hr="t"/>
        </w:pict>
      </w:r>
    </w:p>
    <w:bookmarkEnd w:id="38"/>
    <w:bookmarkEnd w:id="39"/>
    <w:bookmarkStart w:id="45" w:name="review-and-reporting"/>
    <w:p>
      <w:pPr>
        <w:pStyle w:val="Heading2"/>
      </w:pPr>
      <w:r>
        <w:t xml:space="preserve">4. Review and Reporting</w:t>
      </w:r>
    </w:p>
    <w:bookmarkStart w:id="40" w:name="emission-hotspots"/>
    <w:p>
      <w:pPr>
        <w:pStyle w:val="Heading3"/>
      </w:pPr>
      <w:r>
        <w:t xml:space="preserve">4.1. Emission Hotspots</w:t>
      </w:r>
    </w:p>
    <w:p>
      <w:pPr>
        <w:pStyle w:val="FirstParagraph"/>
      </w:pPr>
      <w:r>
        <w:t xml:space="preserve">Based on the calculations, the primary emission hotspots for</w:t>
      </w:r>
      <w:r>
        <w:t xml:space="preserve"> </w:t>
      </w:r>
      <w:r>
        <w:rPr>
          <w:bCs/>
          <w:b/>
        </w:rPr>
        <w:t xml:space="preserve">fpgmluuppf</w:t>
      </w:r>
      <w:r>
        <w:t xml:space="preserve"> </w:t>
      </w:r>
      <w:r>
        <w:t xml:space="preserve">are:</w:t>
      </w:r>
    </w:p>
    <w:p>
      <w:pPr>
        <w:numPr>
          <w:ilvl w:val="0"/>
          <w:numId w:val="1019"/>
        </w:numPr>
        <w:pStyle w:val="Compact"/>
      </w:pPr>
      <w:r>
        <w:rPr>
          <w:bCs/>
          <w:b/>
        </w:rPr>
        <w:t xml:space="preserve">Use Phase (86.4% of total PCF):</w:t>
      </w:r>
      <w:r>
        <w:t xml:space="preserve"> </w:t>
      </w:r>
      <w:r>
        <w:t xml:space="preserve">Energy consumption during the product\'s lifespan is the most significant contributor. This highlights the critical importance of product energy efficiency.</w:t>
      </w:r>
    </w:p>
    <w:p>
      <w:pPr>
        <w:numPr>
          <w:ilvl w:val="0"/>
          <w:numId w:val="1019"/>
        </w:numPr>
        <w:pStyle w:val="Compact"/>
      </w:pPr>
      <w:r>
        <w:rPr>
          <w:bCs/>
          <w:b/>
        </w:rPr>
        <w:t xml:space="preserve">Material Acquisition (10.6% of total PCF):</w:t>
      </w:r>
      <w:r>
        <w:t xml:space="preserve"> </w:t>
      </w:r>
      <w:r>
        <w:t xml:space="preserve">The raw materials, particularly the "Circuit Board" and "Steel Casing" based on their emission factors and quantities, contribute substantially to the upstream footprint.</w:t>
      </w:r>
    </w:p>
    <w:p>
      <w:pPr>
        <w:numPr>
          <w:ilvl w:val="0"/>
          <w:numId w:val="1019"/>
        </w:numPr>
        <w:pStyle w:val="Compact"/>
      </w:pPr>
      <w:r>
        <w:rPr>
          <w:bCs/>
          <w:b/>
        </w:rPr>
        <w:t xml:space="preserve">Production Energy (4.1% of total PCF):</w:t>
      </w:r>
      <w:r>
        <w:t xml:space="preserve"> </w:t>
      </w:r>
      <w:r>
        <w:t xml:space="preserve">Emissions from purchased electricity for manufacturing, even with 45% renewable energy usage, remain a notable factor.</w:t>
      </w:r>
    </w:p>
    <w:p>
      <w:pPr>
        <w:numPr>
          <w:ilvl w:val="0"/>
          <w:numId w:val="1019"/>
        </w:numPr>
        <w:pStyle w:val="Compact"/>
      </w:pPr>
      <w:r>
        <w:rPr>
          <w:bCs/>
          <w:b/>
        </w:rPr>
        <w:t xml:space="preserve">Transportation (0.4% of total PCF):</w:t>
      </w:r>
      <w:r>
        <w:t xml:space="preserve"> </w:t>
      </w:r>
      <w:r>
        <w:t xml:space="preserve">Both upstream and last-mile transportation contribute a smaller but still relevant portion.</w:t>
      </w:r>
    </w:p>
    <w:p>
      <w:pPr>
        <w:numPr>
          <w:ilvl w:val="0"/>
          <w:numId w:val="1019"/>
        </w:numPr>
        <w:pStyle w:val="Compact"/>
      </w:pPr>
      <w:r>
        <w:rPr>
          <w:bCs/>
          <w:b/>
        </w:rPr>
        <w:t xml:space="preserve">End-of-Life (Net Savings):</w:t>
      </w:r>
      <w:r>
        <w:t xml:space="preserve"> </w:t>
      </w:r>
      <w:r>
        <w:t xml:space="preserve">Due to the high recyclability (70%) and active circular programs, the end-of-life phase results in net carbon savings, demonstrating the positive impact of circular economy initiatives.</w:t>
      </w:r>
    </w:p>
    <w:bookmarkEnd w:id="40"/>
    <w:bookmarkStart w:id="41" w:name="reliability-of-data"/>
    <w:p>
      <w:pPr>
        <w:pStyle w:val="Heading3"/>
      </w:pPr>
      <w:r>
        <w:t xml:space="preserve">4.2. Reliability of Data</w:t>
      </w:r>
    </w:p>
    <w:p>
      <w:pPr>
        <w:pStyle w:val="FirstParagraph"/>
      </w:pPr>
      <w:r>
        <w:t xml:space="preserve">The reliability of this PCF analysis is contingent upon the accuracy of the provided primary data and the representativeness of the assumed secondary data (generic emission factors).</w:t>
      </w:r>
    </w:p>
    <w:p>
      <w:pPr>
        <w:numPr>
          <w:ilvl w:val="0"/>
          <w:numId w:val="1020"/>
        </w:numPr>
        <w:pStyle w:val="Compact"/>
      </w:pPr>
      <w:r>
        <w:rPr>
          <w:bCs/>
          <w:b/>
        </w:rPr>
        <w:t xml:space="preserve">Primary Data:</w:t>
      </w:r>
      <w:r>
        <w:t xml:space="preserve"> </w:t>
      </w:r>
      <w:r>
        <w:t xml:space="preserve">The Detailed BOM (xroqtdrl), renewable energy usage (yuensnrtoi), energy intensity (jvszlwmvon), product lifespan (xoujnuqvrv), energy consumption in use (dujrtxlvyp), recyclability percentage (qjtqpgzpvh), and circular program status (uilyjknvrt) are directly incorporated as provided. The precision of these inputs directly affects the output.</w:t>
      </w:r>
    </w:p>
    <w:p>
      <w:pPr>
        <w:numPr>
          <w:ilvl w:val="0"/>
          <w:numId w:val="1020"/>
        </w:numPr>
        <w:pStyle w:val="Compact"/>
      </w:pPr>
      <w:r>
        <w:rPr>
          <w:bCs/>
          <w:b/>
        </w:rPr>
        <w:t xml:space="preserve">Secondary Data:</w:t>
      </w:r>
      <w:r>
        <w:t xml:space="preserve"> </w:t>
      </w:r>
      <w:r>
        <w:t xml:space="preserve">Generic emission factors for electricity grids (China, global average), transport modes (ocean, road), and EoL scenarios are based on industry-standard databases (e.g., Ecoinvent/DEFRA equivalents). While these are robust averages, product-specific or region-specific factors would further enhance accuracy.</w:t>
      </w:r>
    </w:p>
    <w:p>
      <w:pPr>
        <w:numPr>
          <w:ilvl w:val="0"/>
          <w:numId w:val="1020"/>
        </w:numPr>
        <w:pStyle w:val="Compact"/>
      </w:pPr>
      <w:r>
        <w:rPr>
          <w:bCs/>
          <w:b/>
        </w:rPr>
        <w:t xml:space="preserve">Placeholder Assumptions:</w:t>
      </w:r>
      <w:r>
        <w:t xml:space="preserve"> </w:t>
      </w:r>
      <w:r>
        <w:t xml:space="preserve">It is crucial to reiterate that numerical values were *assumed* for the string placeholders in the input prompt (e.g., sumfuotyuj for distance, yuensnrtoi for percentage) to facilitate illustrative calculations. For a definitive report, these must be replaced with actual, precise data.</w:t>
      </w:r>
    </w:p>
    <w:bookmarkEnd w:id="41"/>
    <w:bookmarkStart w:id="44" w:name="recommendations-for-emission-reduction"/>
    <w:p>
      <w:pPr>
        <w:pStyle w:val="Heading3"/>
      </w:pPr>
      <w:r>
        <w:t xml:space="preserve">4.3. Recommendations for Emission Reduction</w:t>
      </w:r>
    </w:p>
    <w:p>
      <w:pPr>
        <w:numPr>
          <w:ilvl w:val="0"/>
          <w:numId w:val="1021"/>
        </w:numPr>
        <w:pStyle w:val="Compact"/>
      </w:pPr>
      <w:r>
        <w:rPr>
          <w:bCs/>
          <w:b/>
        </w:rPr>
        <w:t xml:space="preserve">Optimize Use Phase:</w:t>
      </w:r>
      <w:r>
        <w:t xml:space="preserve"> </w:t>
      </w:r>
      <w:r>
        <w:t xml:space="preserve">Invest in R&amp;D for fpgmluuppf to significantly reduce its energy consumption during the use phase. This could involve more efficient components, power-saving modes, or longer-lasting design to extend product life beyond assumed xoujnuqvrv.</w:t>
      </w:r>
    </w:p>
    <w:p>
      <w:pPr>
        <w:numPr>
          <w:ilvl w:val="0"/>
          <w:numId w:val="1021"/>
        </w:numPr>
        <w:pStyle w:val="Compact"/>
      </w:pPr>
      <w:r>
        <w:rPr>
          <w:bCs/>
          <w:b/>
        </w:rPr>
        <w:t xml:space="preserve">Supply Chain Engagement:</w:t>
      </w:r>
      <w:r>
        <w:t xml:space="preserve"> </w:t>
      </w:r>
      <w:r>
        <w:t xml:space="preserve">Work with material suppliers to source lower-carbon alternatives for components like circuit boards and steel, or explore options for reducing the carbon intensity of their manufacturing processes.</w:t>
      </w:r>
    </w:p>
    <w:p>
      <w:pPr>
        <w:numPr>
          <w:ilvl w:val="0"/>
          <w:numId w:val="1021"/>
        </w:numPr>
        <w:pStyle w:val="Compact"/>
      </w:pPr>
      <w:r>
        <w:rPr>
          <w:bCs/>
          <w:b/>
        </w:rPr>
        <w:t xml:space="preserve">Renewable Energy Transition:</w:t>
      </w:r>
      <w:r>
        <w:t xml:space="preserve"> </w:t>
      </w:r>
      <w:r>
        <w:t xml:space="preserve">Increase the percentage of renewable energy usage (yuensnrtoi) at the production facility in China and encourage suppliers to do the same. This directly reduces Scope 2 emissions.</w:t>
      </w:r>
    </w:p>
    <w:p>
      <w:pPr>
        <w:numPr>
          <w:ilvl w:val="0"/>
          <w:numId w:val="1021"/>
        </w:numPr>
        <w:pStyle w:val="Compact"/>
      </w:pPr>
      <w:r>
        <w:rPr>
          <w:bCs/>
          <w:b/>
        </w:rPr>
        <w:t xml:space="preserve">Logistics Optimization:</w:t>
      </w:r>
      <w:r>
        <w:t xml:space="preserve"> </w:t>
      </w:r>
      <w:r>
        <w:t xml:space="preserve">Continuously optimize transport routes and modes (Select Mode, Delivery Type) to reduce distances (sumfuotyuj) and utilize lower-emission transport options where feasible.</w:t>
      </w:r>
    </w:p>
    <w:p>
      <w:pPr>
        <w:numPr>
          <w:ilvl w:val="0"/>
          <w:numId w:val="1021"/>
        </w:numPr>
        <w:pStyle w:val="Compact"/>
      </w:pPr>
      <w:r>
        <w:rPr>
          <w:bCs/>
          <w:b/>
        </w:rPr>
        <w:t xml:space="preserve">Circular Economy Enhancement:</w:t>
      </w:r>
      <w:r>
        <w:t xml:space="preserve"> </w:t>
      </w:r>
      <w:r>
        <w:t xml:space="preserve">Continue to invest in and expand circular/take-back programs (uilyjknvrt) and explore ways to increase the recyclability percentage (qjtqpgzpvh) further, potentially through design for disassembly or use of higher-grade recycled content.</w:t>
      </w:r>
    </w:p>
    <w:p>
      <w:r>
        <w:pict>
          <v:rect style="width:0;height:1.5pt" o:hralign="center" o:hrstd="t" o:hr="t"/>
        </w:pict>
      </w:r>
    </w:p>
    <w:p>
      <w:pPr>
        <w:pStyle w:val="FirstParagraph"/>
      </w:pPr>
      <w:r>
        <w:t xml:space="preserve">Confidential - Internal Use Only | Page</w:t>
      </w:r>
      <w:r>
        <w:t xml:space="preserve"> </w:t>
      </w:r>
      <w:bookmarkStart w:id="42" w:name="page-num"/>
      <w:bookmarkEnd w:id="42"/>
      <w:r>
        <w:t xml:space="preserve"> </w:t>
      </w:r>
      <w:r>
        <w:t xml:space="preserve">of</w:t>
      </w:r>
      <w:r>
        <w:t xml:space="preserve"> </w:t>
      </w:r>
      <w:bookmarkStart w:id="43" w:name="page-count"/>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fpgmluuppf</dc:title>
  <dc:creator/>
  <dc:description>Detailed Product Carbon Footprint (PCF) analysis report for fpgmluuppf, conducted by xtwhiryftl, adhering to GHG Protocol standards and 2026 LSR updates.</dc:description>
  <dc:language>en</dc:language>
  <cp:keywords/>
  <dcterms:created xsi:type="dcterms:W3CDTF">2026-07-15T09:10:15Z</dcterms:created>
  <dcterms:modified xsi:type="dcterms:W3CDTF">2026-07-15T09:10:15Z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