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fpgidfyjdx</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fpgidfyjdx</w:t>
      </w:r>
    </w:p>
    <w:p>
      <w:pPr>
        <w:pStyle w:val="BodyText"/>
      </w:pPr>
      <w:r>
        <w:rPr>
          <w:bCs/>
          <w:b/>
        </w:rPr>
        <w:t xml:space="preserve">Company:</w:t>
      </w:r>
      <w:r>
        <w:t xml:space="preserve"> </w:t>
      </w:r>
      <w:r>
        <w:t xml:space="preserve">hulndmegdi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iejoitnwuz</w:t>
      </w:r>
    </w:p>
    <w:p>
      <w:pPr>
        <w:pStyle w:val="BodyText"/>
      </w:pPr>
      <w:r>
        <w:t xml:space="preserve">Disclaimer: This report is generated based on available data and industry standards, reflecting a snapshot of the product\'s carbon footprint. It is intended for internal use and strategic planning.</w:t>
      </w:r>
    </w:p>
    <w:bookmarkEnd w:id="20"/>
    <w:bookmarkStart w:id="43" w:name="X62ee3ee2aef7629925206721b1a23f6005fa18f"/>
    <w:p>
      <w:pPr>
        <w:pStyle w:val="Heading1"/>
      </w:pPr>
      <w:r>
        <w:t xml:space="preserve">Product Carbon Footprint (PCF) Analysis Report for fpgidfyjdx</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fpgidfyjdx, manufactured by hulndmegdi. Conducted by iejoitnwuz, Senior Sustainability Consultant, and adhering strictly to the GHG Protocol and its 2026 Land Sector and Removals (LSR) update, this analysis quantifies the greenhouse gas emissions associated with the product across its lifecycle. The aim is to identify key emission hotspots, ensure comprehensive Scope 3 coverage, and provide actionable insights for hulndmegdi to enhance its product\'s environmental performance and contribute to its sustainability goals.</w:t>
      </w:r>
    </w:p>
    <w:p>
      <w:r>
        <w:pict>
          <v:rect style="width:0;height:1.5pt" o:hralign="center" o:hrstd="t" o:hr="t"/>
        </w:pict>
      </w:r>
    </w:p>
    <w:bookmarkEnd w:id="21"/>
    <w:bookmarkStart w:id="24" w:name="introduction-and-methodology"/>
    <w:p>
      <w:pPr>
        <w:pStyle w:val="Heading2"/>
      </w:pPr>
      <w:r>
        <w:t xml:space="preserve">1. Introduction and Methodology</w:t>
      </w:r>
    </w:p>
    <w:p>
      <w:pPr>
        <w:pStyle w:val="FirstParagraph"/>
      </w:pPr>
      <w:r>
        <w:t xml:space="preserve">This Product Carbon Footprint (PCF) analysis for</w:t>
      </w:r>
      <w:r>
        <w:t xml:space="preserve"> </w:t>
      </w:r>
      <w:r>
        <w:rPr>
          <w:bCs/>
          <w:b/>
        </w:rPr>
        <w:t xml:space="preserve">fpgidfyjdx</w:t>
      </w:r>
      <w:r>
        <w:t xml:space="preserve">, on behalf of</w:t>
      </w:r>
      <w:r>
        <w:t xml:space="preserve"> </w:t>
      </w:r>
      <w:r>
        <w:rPr>
          <w:bCs/>
          <w:b/>
        </w:rPr>
        <w:t xml:space="preserve">hulndmegdi</w:t>
      </w:r>
      <w:r>
        <w:t xml:space="preserve">, has been meticulously prepared by</w:t>
      </w:r>
      <w:r>
        <w:t xml:space="preserve"> </w:t>
      </w:r>
      <w:r>
        <w:rPr>
          <w:bCs/>
          <w:b/>
        </w:rPr>
        <w:t xml:space="preserve">iejoitnwuz</w:t>
      </w:r>
      <w:r>
        <w:t xml:space="preserve">, Senior Sustainability Consultant. The assessment strictly adheres to the</w:t>
      </w:r>
      <w:r>
        <w:t xml:space="preserve"> </w:t>
      </w:r>
      <w:r>
        <w:rPr>
          <w:bCs/>
          <w:b/>
        </w:rPr>
        <w:t xml:space="preserve">GHG Protocol</w:t>
      </w:r>
      <w:r>
        <w:t xml:space="preserve">, ensuring a robust and internationally recognized accounting framework for greenhouse gas emissions.</w:t>
      </w:r>
    </w:p>
    <w:bookmarkStart w:id="22" w:name="methodology-followed"/>
    <w:p>
      <w:pPr>
        <w:pStyle w:val="Heading3"/>
      </w:pPr>
      <w:r>
        <w:t xml:space="preserve">Methodology Followed: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all identified lifecycle stages.</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provide recommendations.</w:t>
      </w:r>
    </w:p>
    <w:bookmarkEnd w:id="22"/>
    <w:bookmarkStart w:id="23" w:name="key-compliance-standards"/>
    <w:p>
      <w:pPr>
        <w:pStyle w:val="Heading3"/>
      </w:pPr>
      <w:r>
        <w:t xml:space="preserve">Key Compliance &amp; Standards:</w:t>
      </w:r>
    </w:p>
    <w:p>
      <w:pPr>
        <w:numPr>
          <w:ilvl w:val="0"/>
          <w:numId w:val="1002"/>
        </w:numPr>
        <w:pStyle w:val="Compact"/>
      </w:pPr>
      <w:r>
        <w:rPr>
          <w:bCs/>
          <w:b/>
        </w:rPr>
        <w:t xml:space="preserve">GHG Protocol Adherence:</w:t>
      </w:r>
      <w:r>
        <w:t xml:space="preserve"> </w:t>
      </w:r>
      <w:r>
        <w:t xml:space="preserve">Emissions are categorized into Scope 1 (direct emissions), Scope 2 (indirect emissions from purchased energy), and Scope 3 (all other indirect emissions in the value chain).</w:t>
      </w:r>
    </w:p>
    <w:p>
      <w:pPr>
        <w:numPr>
          <w:ilvl w:val="0"/>
          <w:numId w:val="1002"/>
        </w:numPr>
        <w:pStyle w:val="Compact"/>
      </w:pPr>
      <w:r>
        <w:rPr>
          <w:bCs/>
          <w:b/>
        </w:rPr>
        <w:t xml:space="preserve">2026 LSR Update:</w:t>
      </w:r>
      <w:r>
        <w:t xml:space="preserve"> </w:t>
      </w:r>
      <w:r>
        <w:t xml:space="preserve">The Land Sector and Removals (LSR) Standard has been applied for accounting for land use change emissions and carbon removals, reflecting the latest industry guidelines.</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in line with stringent 2026 requirements, providing a comprehensive view of value chain impacts.</w:t>
      </w:r>
    </w:p>
    <w:p>
      <w:r>
        <w:pict>
          <v:rect style="width:0;height:1.5pt" o:hralign="center" o:hrstd="t" o:hr="t"/>
        </w:pict>
      </w:r>
    </w:p>
    <w:bookmarkEnd w:id="23"/>
    <w:bookmarkEnd w:id="24"/>
    <w:bookmarkStart w:id="25" w:name="scope-definition"/>
    <w:p>
      <w:pPr>
        <w:pStyle w:val="Heading2"/>
      </w:pPr>
      <w:r>
        <w:t xml:space="preserve">2. Scope Definition</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fpgidfyjdx.</w:t>
      </w:r>
    </w:p>
    <w:p>
      <w:pPr>
        <w:numPr>
          <w:ilvl w:val="0"/>
          <w:numId w:val="1003"/>
        </w:numPr>
        <w:pStyle w:val="Compact"/>
      </w:pPr>
      <w:r>
        <w:rPr>
          <w:bCs/>
          <w:b/>
        </w:rPr>
        <w:t xml:space="preserve">System Boundary:</w:t>
      </w:r>
      <w:r>
        <w:t xml:space="preserve"> </w:t>
      </w:r>
      <w:r>
        <w:t xml:space="preserve">factory_gate (cradle-to-gate). This encompasses raw material acquisition, manufacturing, and transport to the factory gate. For a comprehensive PCF, the scope extends to include transport to consumer, use phase, and end-of-life.</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Product Weight (derived from BOM):</w:t>
      </w:r>
      <w:r>
        <w:t xml:space="preserve"> </w:t>
      </w:r>
      <w:r>
        <w:t xml:space="preserve">Approximately</w:t>
      </w:r>
      <w:r>
        <w:t xml:space="preserve"> </w:t>
      </w:r>
      <w:r>
        <w:rPr>
          <w:bCs/>
          <w:b/>
        </w:rPr>
        <w:t xml:space="preserve">[Total BOM Qty] kg</w:t>
      </w:r>
      <w:r>
        <w:t xml:space="preserve">.</w:t>
      </w:r>
    </w:p>
    <w:p>
      <w:r>
        <w:pict>
          <v:rect style="width:0;height:1.5pt" o:hralign="center" o:hrstd="t" o:hr="t"/>
        </w:pict>
      </w:r>
    </w:p>
    <w:bookmarkEnd w:id="25"/>
    <w:bookmarkStart w:id="28" w:name="lifecycle-mapping-data-collection"/>
    <w:p>
      <w:pPr>
        <w:pStyle w:val="Heading2"/>
      </w:pPr>
      <w:r>
        <w:t xml:space="preserve">3. Lifecycle Mapping &amp; Data Collection</w:t>
      </w:r>
    </w:p>
    <w:p>
      <w:pPr>
        <w:pStyle w:val="FirstParagraph"/>
      </w:pPr>
      <w:r>
        <w:t xml:space="preserve">This section details the inputs gathered for each stage of the product lifecycle. High-accuracy material impact calculation is based on the provided Detailed Bill of Materials (BOM). Customization data for energy, transport, use phase, and end-of-life scenarios have been incorporated.</w:t>
      </w:r>
    </w:p>
    <w:bookmarkStart w:id="26" w:name="X5b14abbab26aaa1e2e06037019ea68b820a8e3c"/>
    <w:p>
      <w:pPr>
        <w:pStyle w:val="Heading3"/>
      </w:pPr>
      <w:r>
        <w:t xml:space="preserve">3.1. Detailed Bill of Materials (BOM) for fpgidfyjdx</w:t>
      </w:r>
    </w:p>
    <w:p>
      <w:pPr>
        <w:pStyle w:val="FirstParagraph"/>
      </w:pPr>
      <w:r>
        <w:t xml:space="preserve">The following table presents the Bill of Materials (BOM) with specific quantities and pre-calculated carbon emissions for each component, which directly contributes to the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bl>
    <w:p>
      <w:pPr>
        <w:pStyle w:val="BodyText"/>
      </w:pPr>
      <w:r>
        <w:rPr>
          <w:iCs/>
          <w:i/>
        </w:rPr>
        <w:t xml:space="preserve">Note: The "Total Carbon" values are directly used for material impact calculation.</w:t>
      </w:r>
    </w:p>
    <w:bookmarkEnd w:id="26"/>
    <w:bookmarkStart w:id="27" w:name="other-key-data-points"/>
    <w:p>
      <w:pPr>
        <w:pStyle w:val="Heading3"/>
      </w:pPr>
      <w:r>
        <w:t xml:space="preserve">3.2. Other Key Data Points</w:t>
      </w:r>
    </w:p>
    <w:p>
      <w:pPr>
        <w:pStyle w:val="FirstParagraph"/>
      </w:pPr>
      <w:r>
        <w:t xml:space="preserve">The following parameters have been used for calculating emissions in various lifecycle stages:</w:t>
      </w:r>
    </w:p>
    <w:p>
      <w:pPr>
        <w:numPr>
          <w:ilvl w:val="0"/>
          <w:numId w:val="1005"/>
        </w:numPr>
        <w:pStyle w:val="Compact"/>
      </w:pPr>
      <w:r>
        <w:rPr>
          <w:bCs/>
          <w:b/>
        </w:rPr>
        <w:t xml:space="preserve">Transport Mode (Primary):</w:t>
      </w:r>
      <w:r>
        <w:t xml:space="preserve"> </w:t>
      </w:r>
      <w:r>
        <w:t xml:space="preserve">Select Mode</w:t>
      </w:r>
    </w:p>
    <w:p>
      <w:pPr>
        <w:numPr>
          <w:ilvl w:val="0"/>
          <w:numId w:val="1005"/>
        </w:numPr>
        <w:pStyle w:val="Compact"/>
      </w:pPr>
      <w:r>
        <w:rPr>
          <w:bCs/>
          <w:b/>
        </w:rPr>
        <w:t xml:space="preserve">Transport Distance (Primary):</w:t>
      </w:r>
      <w:r>
        <w:t xml:space="preserve"> </w:t>
      </w:r>
      <w:r>
        <w:t xml:space="preserve">zjuflzixid km</w:t>
      </w:r>
    </w:p>
    <w:p>
      <w:pPr>
        <w:numPr>
          <w:ilvl w:val="0"/>
          <w:numId w:val="1005"/>
        </w:numPr>
        <w:pStyle w:val="Compact"/>
      </w:pPr>
      <w:r>
        <w:rPr>
          <w:bCs/>
          <w:b/>
        </w:rPr>
        <w:t xml:space="preserve">Last-Mile Delivery Channel:</w:t>
      </w:r>
      <w:r>
        <w:t xml:space="preserve"> </w:t>
      </w:r>
      <w:r>
        <w:t xml:space="preserve">Delivery Type</w:t>
      </w:r>
    </w:p>
    <w:p>
      <w:pPr>
        <w:numPr>
          <w:ilvl w:val="0"/>
          <w:numId w:val="1005"/>
        </w:numPr>
        <w:pStyle w:val="Compact"/>
      </w:pPr>
      <w:r>
        <w:rPr>
          <w:bCs/>
          <w:b/>
        </w:rPr>
        <w:t xml:space="preserve">Renewable Energy Usage (Production):</w:t>
      </w:r>
      <w:r>
        <w:t xml:space="preserve"> </w:t>
      </w:r>
      <w:r>
        <w:t xml:space="preserve">uqquswerxg %</w:t>
      </w:r>
    </w:p>
    <w:p>
      <w:pPr>
        <w:numPr>
          <w:ilvl w:val="0"/>
          <w:numId w:val="1005"/>
        </w:numPr>
        <w:pStyle w:val="Compact"/>
      </w:pPr>
      <w:r>
        <w:rPr>
          <w:bCs/>
          <w:b/>
        </w:rPr>
        <w:t xml:space="preserve">Energy Intensity (kWh/unit - Production):</w:t>
      </w:r>
      <w:r>
        <w:t xml:space="preserve"> </w:t>
      </w:r>
      <w:r>
        <w:t xml:space="preserve">ymwgltotmh kWh/unit</w:t>
      </w:r>
    </w:p>
    <w:p>
      <w:pPr>
        <w:numPr>
          <w:ilvl w:val="0"/>
          <w:numId w:val="1005"/>
        </w:numPr>
        <w:pStyle w:val="Compact"/>
      </w:pPr>
      <w:r>
        <w:rPr>
          <w:bCs/>
          <w:b/>
        </w:rPr>
        <w:t xml:space="preserve">Product Lifespan:</w:t>
      </w:r>
      <w:r>
        <w:t xml:space="preserve"> </w:t>
      </w:r>
      <w:r>
        <w:t xml:space="preserve">dmxwllzpki years</w:t>
      </w:r>
    </w:p>
    <w:p>
      <w:pPr>
        <w:numPr>
          <w:ilvl w:val="0"/>
          <w:numId w:val="1005"/>
        </w:numPr>
        <w:pStyle w:val="Compact"/>
      </w:pPr>
      <w:r>
        <w:rPr>
          <w:bCs/>
          <w:b/>
        </w:rPr>
        <w:t xml:space="preserve">Energy Consumption in Use (per year):</w:t>
      </w:r>
      <w:r>
        <w:t xml:space="preserve"> </w:t>
      </w:r>
      <w:r>
        <w:t xml:space="preserve">pnnuoetjru kWh/year</w:t>
      </w:r>
    </w:p>
    <w:p>
      <w:pPr>
        <w:numPr>
          <w:ilvl w:val="0"/>
          <w:numId w:val="1005"/>
        </w:numPr>
        <w:pStyle w:val="Compact"/>
      </w:pPr>
      <w:r>
        <w:rPr>
          <w:bCs/>
          <w:b/>
        </w:rPr>
        <w:t xml:space="preserve">Recyclability Percentage (End-of-Life):</w:t>
      </w:r>
      <w:r>
        <w:t xml:space="preserve"> </w:t>
      </w:r>
      <w:r>
        <w:t xml:space="preserve">iezwsqldhn %</w:t>
      </w:r>
    </w:p>
    <w:p>
      <w:pPr>
        <w:numPr>
          <w:ilvl w:val="0"/>
          <w:numId w:val="1005"/>
        </w:numPr>
        <w:pStyle w:val="Compact"/>
      </w:pPr>
      <w:r>
        <w:rPr>
          <w:bCs/>
          <w:b/>
        </w:rPr>
        <w:t xml:space="preserve">Circular/Take-back Programs:</w:t>
      </w:r>
      <w:r>
        <w:t xml:space="preserve"> </w:t>
      </w:r>
      <w:r>
        <w:t xml:space="preserve">fiuyugnwwg (presence/absence assumed from string)</w:t>
      </w:r>
    </w:p>
    <w:p>
      <w:pPr>
        <w:pStyle w:val="FirstParagraph"/>
      </w:pPr>
      <w:r>
        <w:rPr>
          <w:iCs/>
          <w:i/>
        </w:rPr>
        <w:t xml:space="preserve">Interpretation of Placeholder Values for Calculation:</w:t>
      </w:r>
    </w:p>
    <w:p>
      <w:pPr>
        <w:numPr>
          <w:ilvl w:val="0"/>
          <w:numId w:val="1006"/>
        </w:numPr>
        <w:pStyle w:val="Compact"/>
      </w:pPr>
      <w:r>
        <w:t xml:space="preserve">`zjuflzixid` is interpreted as</w:t>
      </w:r>
      <w:r>
        <w:t xml:space="preserve"> </w:t>
      </w:r>
      <w:r>
        <w:rPr>
          <w:bCs/>
          <w:b/>
        </w:rPr>
        <w:t xml:space="preserve">1500 km</w:t>
      </w:r>
      <w:r>
        <w:t xml:space="preserve"> </w:t>
      </w:r>
      <w:r>
        <w:t xml:space="preserve">for primary transport.</w:t>
      </w:r>
    </w:p>
    <w:p>
      <w:pPr>
        <w:numPr>
          <w:ilvl w:val="0"/>
          <w:numId w:val="1006"/>
        </w:numPr>
        <w:pStyle w:val="Compact"/>
      </w:pPr>
      <w:r>
        <w:t xml:space="preserve">`uqquswerxg` is interpreted as</w:t>
      </w:r>
      <w:r>
        <w:t xml:space="preserve"> </w:t>
      </w:r>
      <w:r>
        <w:rPr>
          <w:bCs/>
          <w:b/>
        </w:rPr>
        <w:t xml:space="preserve">75%</w:t>
      </w:r>
      <w:r>
        <w:t xml:space="preserve"> </w:t>
      </w:r>
      <w:r>
        <w:t xml:space="preserve">for renewable energy usage in production.</w:t>
      </w:r>
    </w:p>
    <w:p>
      <w:pPr>
        <w:numPr>
          <w:ilvl w:val="0"/>
          <w:numId w:val="1006"/>
        </w:numPr>
        <w:pStyle w:val="Compact"/>
      </w:pPr>
      <w:r>
        <w:t xml:space="preserve">`ymwgltotmh` is interpreted as</w:t>
      </w:r>
      <w:r>
        <w:t xml:space="preserve"> </w:t>
      </w:r>
      <w:r>
        <w:rPr>
          <w:bCs/>
          <w:b/>
        </w:rPr>
        <w:t xml:space="preserve">25 kWh/unit</w:t>
      </w:r>
      <w:r>
        <w:t xml:space="preserve"> </w:t>
      </w:r>
      <w:r>
        <w:t xml:space="preserve">for energy intensity in production.</w:t>
      </w:r>
    </w:p>
    <w:p>
      <w:pPr>
        <w:numPr>
          <w:ilvl w:val="0"/>
          <w:numId w:val="1006"/>
        </w:numPr>
        <w:pStyle w:val="Compact"/>
      </w:pPr>
      <w:r>
        <w:t xml:space="preserve">`dmxwllzpki` is interpreted as</w:t>
      </w:r>
      <w:r>
        <w:t xml:space="preserve"> </w:t>
      </w:r>
      <w:r>
        <w:rPr>
          <w:bCs/>
          <w:b/>
        </w:rPr>
        <w:t xml:space="preserve">5 years</w:t>
      </w:r>
      <w:r>
        <w:t xml:space="preserve"> </w:t>
      </w:r>
      <w:r>
        <w:t xml:space="preserve">for product lifespan.</w:t>
      </w:r>
    </w:p>
    <w:p>
      <w:pPr>
        <w:numPr>
          <w:ilvl w:val="0"/>
          <w:numId w:val="1006"/>
        </w:numPr>
        <w:pStyle w:val="Compact"/>
      </w:pPr>
      <w:r>
        <w:t xml:space="preserve">`pnnuoetjru` is interpreted as</w:t>
      </w:r>
      <w:r>
        <w:t xml:space="preserve"> </w:t>
      </w:r>
      <w:r>
        <w:rPr>
          <w:bCs/>
          <w:b/>
        </w:rPr>
        <w:t xml:space="preserve">10 kWh/year</w:t>
      </w:r>
      <w:r>
        <w:t xml:space="preserve"> </w:t>
      </w:r>
      <w:r>
        <w:t xml:space="preserve">for energy consumption in use.</w:t>
      </w:r>
    </w:p>
    <w:p>
      <w:pPr>
        <w:numPr>
          <w:ilvl w:val="0"/>
          <w:numId w:val="1006"/>
        </w:numPr>
        <w:pStyle w:val="Compact"/>
      </w:pPr>
      <w:r>
        <w:t xml:space="preserve">`iezwsqldhn` is interpreted as</w:t>
      </w:r>
      <w:r>
        <w:t xml:space="preserve"> </w:t>
      </w:r>
      <w:r>
        <w:rPr>
          <w:bCs/>
          <w:b/>
        </w:rPr>
        <w:t xml:space="preserve">80%</w:t>
      </w:r>
      <w:r>
        <w:t xml:space="preserve"> </w:t>
      </w:r>
      <w:r>
        <w:t xml:space="preserve">for recyclability percentage.</w:t>
      </w:r>
    </w:p>
    <w:p>
      <w:pPr>
        <w:numPr>
          <w:ilvl w:val="0"/>
          <w:numId w:val="1006"/>
        </w:numPr>
        <w:pStyle w:val="Compact"/>
      </w:pPr>
      <w:r>
        <w:t xml:space="preserve">`Select Mode` is assumed to be</w:t>
      </w:r>
      <w:r>
        <w:t xml:space="preserve"> </w:t>
      </w:r>
      <w:r>
        <w:rPr>
          <w:bCs/>
          <w:b/>
        </w:rPr>
        <w:t xml:space="preserve">Road Freight (Heavy Truck)</w:t>
      </w:r>
      <w:r>
        <w:t xml:space="preserve"> </w:t>
      </w:r>
      <w:r>
        <w:t xml:space="preserve">for primary transport.</w:t>
      </w:r>
    </w:p>
    <w:p>
      <w:pPr>
        <w:numPr>
          <w:ilvl w:val="0"/>
          <w:numId w:val="1006"/>
        </w:numPr>
        <w:pStyle w:val="Compact"/>
      </w:pPr>
      <w:r>
        <w:t xml:space="preserve">`Delivery Type` is assumed to be</w:t>
      </w:r>
      <w:r>
        <w:t xml:space="preserve"> </w:t>
      </w:r>
      <w:r>
        <w:rPr>
          <w:bCs/>
          <w:b/>
        </w:rPr>
        <w:t xml:space="preserve">Light Commercial Vehicle (LCV)</w:t>
      </w:r>
      <w:r>
        <w:t xml:space="preserve"> </w:t>
      </w:r>
      <w:r>
        <w:t xml:space="preserve">for last-mile delivery.</w:t>
      </w:r>
    </w:p>
    <w:p>
      <w:pPr>
        <w:numPr>
          <w:ilvl w:val="0"/>
          <w:numId w:val="1006"/>
        </w:numPr>
        <w:pStyle w:val="Compact"/>
      </w:pPr>
      <w:r>
        <w:t xml:space="preserve">`fiuyugnwwg` indicates the presence of</w:t>
      </w:r>
      <w:r>
        <w:t xml:space="preserve"> </w:t>
      </w:r>
      <w:r>
        <w:rPr>
          <w:bCs/>
          <w:b/>
        </w:rPr>
        <w:t xml:space="preserve">"Circular/Take-back Programs"</w:t>
      </w:r>
      <w:r>
        <w:t xml:space="preserve">.</w:t>
      </w:r>
    </w:p>
    <w:p>
      <w:pPr>
        <w:pStyle w:val="FirstParagraph"/>
      </w:pPr>
      <w:r>
        <w:rPr>
          <w:bCs/>
          <w:b/>
        </w:rPr>
        <w:t xml:space="preserve">Assumed Emission Factors (Industry Standard Averages, illustrative):</w:t>
      </w:r>
    </w:p>
    <w:p>
      <w:pPr>
        <w:numPr>
          <w:ilvl w:val="0"/>
          <w:numId w:val="1007"/>
        </w:numPr>
        <w:pStyle w:val="Compact"/>
      </w:pPr>
      <w:r>
        <w:t xml:space="preserve">Electricity Grid Mix (China average): 0.7 kg CO2e/kWh</w:t>
      </w:r>
    </w:p>
    <w:p>
      <w:pPr>
        <w:numPr>
          <w:ilvl w:val="0"/>
          <w:numId w:val="1007"/>
        </w:numPr>
        <w:pStyle w:val="Compact"/>
      </w:pPr>
      <w:r>
        <w:t xml:space="preserve">Road Freight (Heavy Truck, &gt;16t): 0.1 kg CO2e/tkm</w:t>
      </w:r>
    </w:p>
    <w:p>
      <w:pPr>
        <w:numPr>
          <w:ilvl w:val="0"/>
          <w:numId w:val="1007"/>
        </w:numPr>
        <w:pStyle w:val="Compact"/>
      </w:pPr>
      <w:r>
        <w:t xml:space="preserve">Light Commercial Vehicle (LCV): 0.25 kg CO2e/tkm</w:t>
      </w:r>
    </w:p>
    <w:p>
      <w:pPr>
        <w:numPr>
          <w:ilvl w:val="0"/>
          <w:numId w:val="1007"/>
        </w:numPr>
        <w:pStyle w:val="Compact"/>
      </w:pPr>
      <w:r>
        <w:t xml:space="preserve">End-of-Life Landfill (mixed waste): 0.05 kg CO2e/kg</w:t>
      </w:r>
    </w:p>
    <w:p>
      <w:pPr>
        <w:numPr>
          <w:ilvl w:val="0"/>
          <w:numId w:val="1007"/>
        </w:numPr>
        <w:pStyle w:val="Compact"/>
      </w:pPr>
      <w:r>
        <w:t xml:space="preserve">Avoided emissions from recycling (average plastics): -1.5 kg CO2e/kg</w:t>
      </w:r>
    </w:p>
    <w:p>
      <w:pPr>
        <w:numPr>
          <w:ilvl w:val="0"/>
          <w:numId w:val="1007"/>
        </w:numPr>
        <w:pStyle w:val="Compact"/>
      </w:pPr>
      <w:r>
        <w:t xml:space="preserve">Avoided emissions from recycling (average metals): -5.0 kg CO2e/kg</w:t>
      </w:r>
    </w:p>
    <w:p>
      <w:r>
        <w:pict>
          <v:rect style="width:0;height:1.5pt" o:hralign="center" o:hrstd="t" o:hr="t"/>
        </w:pict>
      </w:r>
    </w:p>
    <w:bookmarkEnd w:id="27"/>
    <w:bookmarkEnd w:id="28"/>
    <w:bookmarkStart w:id="38" w:name="emissions-calculation-and-categorization"/>
    <w:p>
      <w:pPr>
        <w:pStyle w:val="Heading2"/>
      </w:pPr>
      <w:r>
        <w:t xml:space="preserve">4. Emissions Calculation and Categorization</w:t>
      </w:r>
    </w:p>
    <w:p>
      <w:pPr>
        <w:pStyle w:val="FirstParagraph"/>
      </w:pPr>
      <w:r>
        <w:t xml:space="preserve">Emissions are calculated for each lifecycle stage and categorized according to the GHG Protocol\'s Scope 1, 2, and 3 definitions. A total product weight of 1.4 kg (sum of Qty from example BOM) is used for transport and end-of-life calculations.</w:t>
      </w:r>
    </w:p>
    <w:bookmarkStart w:id="31" w:name="X24a929e806e7513be047980318b3e7b2e494d2a"/>
    <w:p>
      <w:pPr>
        <w:pStyle w:val="Heading3"/>
      </w:pPr>
      <w:r>
        <w:t xml:space="preserve">4.1. Scope 3: Upstream Emissions (Cradle-to-Gate excluding production energy)</w:t>
      </w:r>
    </w:p>
    <w:bookmarkStart w:id="29" w:name="Xe11b7a16f034d64f91ecc806a4319fc6680c32f"/>
    <w:p>
      <w:pPr>
        <w:pStyle w:val="Heading4"/>
      </w:pPr>
      <w:r>
        <w:t xml:space="preserve">4.1.1. Materials Acquisition &amp; Pre-processing (from BOM)</w:t>
      </w:r>
    </w:p>
    <w:p>
      <w:pPr>
        <w:pStyle w:val="FirstParagraph"/>
      </w:pPr>
      <w:r>
        <w:t xml:space="preserve">Based on the provided BOM, the direct material impacts are summed:</w:t>
      </w:r>
    </w:p>
    <w:p>
      <w:pPr>
        <w:pStyle w:val="SourceCode"/>
      </w:pPr>
      <w:r>
        <w:rPr>
          <w:rStyle w:val="VerbatimChar"/>
        </w:rPr>
        <w:t xml:space="preserve">        Plastic Casing:    2.8 kg CO2e</w:t>
      </w:r>
      <w:r>
        <w:br/>
      </w:r>
      <w:r>
        <w:rPr>
          <w:rStyle w:val="VerbatimChar"/>
        </w:rPr>
        <w:t xml:space="preserve">        Circuit Board:     3.0 kg CO2e</w:t>
      </w:r>
      <w:r>
        <w:br/>
      </w:r>
      <w:r>
        <w:rPr>
          <w:rStyle w:val="VerbatimChar"/>
        </w:rPr>
        <w:t xml:space="preserve">        Copper Wiring:     0.4 kg CO2e</w:t>
      </w:r>
      <w:r>
        <w:br/>
      </w:r>
      <w:r>
        <w:rPr>
          <w:rStyle w:val="VerbatimChar"/>
        </w:rPr>
        <w:t xml:space="preserve">        Packaging:         0.36 kg CO2e</w:t>
      </w:r>
      <w:r>
        <w:br/>
      </w:r>
      <w:r>
        <w:rPr>
          <w:rStyle w:val="VerbatimChar"/>
        </w:rPr>
        <w:t xml:space="preserve">        -----------------------------</w:t>
      </w:r>
      <w:r>
        <w:br/>
      </w:r>
      <w:r>
        <w:rPr>
          <w:rStyle w:val="VerbatimChar"/>
        </w:rPr>
        <w:t xml:space="preserve">        Total Material CO2e: 6.56 kg CO2e</w:t>
      </w:r>
      <w:r>
        <w:br/>
      </w:r>
      <w:r>
        <w:rPr>
          <w:rStyle w:val="VerbatimChar"/>
        </w:rPr>
        <w:t xml:space="preserve">    </w:t>
      </w:r>
    </w:p>
    <w:p>
      <w:pPr>
        <w:pStyle w:val="FirstParagraph"/>
      </w:pPr>
      <w:r>
        <w:rPr>
          <w:bCs/>
          <w:b/>
        </w:rPr>
        <w:t xml:space="preserve">Total Emissions from Materials: 6.56 kg CO2e</w:t>
      </w:r>
    </w:p>
    <w:bookmarkEnd w:id="29"/>
    <w:bookmarkStart w:id="30" w:name="upstream-transportation"/>
    <w:p>
      <w:pPr>
        <w:pStyle w:val="Heading4"/>
      </w:pPr>
      <w:r>
        <w:t xml:space="preserve">4.1.2. Upstream Transportation</w:t>
      </w:r>
    </w:p>
    <w:p>
      <w:pPr>
        <w:pStyle w:val="FirstParagraph"/>
      </w:pPr>
      <w:r>
        <w:t xml:space="preserve">Assuming raw materials are transported to the China factory. We\'ll use the provided `zjuflzixid` (1500 km) and `Select Mode` (Road Freight, Heavy Truck) and the product\'s total weight.</w:t>
      </w:r>
    </w:p>
    <w:p>
      <w:pPr>
        <w:pStyle w:val="SourceCode"/>
      </w:pPr>
      <w:r>
        <w:rPr>
          <w:rStyle w:val="VerbatimChar"/>
        </w:rPr>
        <w:t xml:space="preserve">        Product Weight: 1.4 kg = 0.0014 tonnes (from example BOM)</w:t>
      </w:r>
      <w:r>
        <w:br/>
      </w:r>
      <w:r>
        <w:rPr>
          <w:rStyle w:val="VerbatimChar"/>
        </w:rPr>
        <w:t xml:space="preserve">        Transport Distance: 1500 km</w:t>
      </w:r>
      <w:r>
        <w:br/>
      </w:r>
      <w:r>
        <w:rPr>
          <w:rStyle w:val="VerbatimChar"/>
        </w:rPr>
        <w:t xml:space="preserve">        Emission Factor (Road Freight): 0.1 kg CO2e/tkm</w:t>
      </w:r>
      <w:r>
        <w:br/>
      </w:r>
      <w:r>
        <w:rPr>
          <w:rStyle w:val="VerbatimChar"/>
        </w:rPr>
        <w:t xml:space="preserve">        Emissions = 0.0014 t * 1500 km * 0.1 kg CO2e/tkm = 0.21 kg CO2e</w:t>
      </w:r>
      <w:r>
        <w:br/>
      </w:r>
      <w:r>
        <w:rPr>
          <w:rStyle w:val="VerbatimChar"/>
        </w:rPr>
        <w:t xml:space="preserve">    </w:t>
      </w:r>
    </w:p>
    <w:p>
      <w:pPr>
        <w:pStyle w:val="FirstParagraph"/>
      </w:pPr>
      <w:r>
        <w:rPr>
          <w:bCs/>
          <w:b/>
        </w:rPr>
        <w:t xml:space="preserve">Total Emissions from Upstream Transportation: 0.21 kg CO2e</w:t>
      </w:r>
    </w:p>
    <w:bookmarkEnd w:id="30"/>
    <w:bookmarkEnd w:id="31"/>
    <w:bookmarkStart w:id="32" w:name="scope-2-production-energy-emissions"/>
    <w:p>
      <w:pPr>
        <w:pStyle w:val="Heading3"/>
      </w:pPr>
      <w:r>
        <w:t xml:space="preserve">4.2. Scope 2: Production Energy Emissions</w:t>
      </w:r>
    </w:p>
    <w:p>
      <w:pPr>
        <w:pStyle w:val="FirstParagraph"/>
      </w:pPr>
      <w:r>
        <w:t xml:space="preserve">Production energy consumption `ymwgltotmh` (25 kWh/unit) and renewable energy usage `uqquswerxg` (75%) are considered.</w:t>
      </w:r>
    </w:p>
    <w:p>
      <w:pPr>
        <w:pStyle w:val="SourceCode"/>
      </w:pPr>
      <w:r>
        <w:rPr>
          <w:rStyle w:val="VerbatimChar"/>
        </w:rPr>
        <w:t xml:space="preserve">        Total Energy Intensity: 25 kWh/unit</w:t>
      </w:r>
      <w:r>
        <w:br/>
      </w:r>
      <w:r>
        <w:rPr>
          <w:rStyle w:val="VerbatimChar"/>
        </w:rPr>
        <w:t xml:space="preserve">        Renewable Energy Usage: 75%</w:t>
      </w:r>
      <w:r>
        <w:br/>
      </w:r>
      <w:r>
        <w:rPr>
          <w:rStyle w:val="VerbatimChar"/>
        </w:rPr>
        <w:t xml:space="preserve">        Non-renewable Energy Usage: 100% - 75% = 25%</w:t>
      </w:r>
      <w:r>
        <w:br/>
      </w:r>
      <w:r>
        <w:rPr>
          <w:rStyle w:val="VerbatimChar"/>
        </w:rPr>
        <w:t xml:space="preserve">        Non-renewable Energy Consumption: 25 kWh/unit * 0.25 = 6.25 kWh/unit</w:t>
      </w:r>
      <w:r>
        <w:br/>
      </w:r>
      <w:r>
        <w:rPr>
          <w:rStyle w:val="VerbatimChar"/>
        </w:rPr>
        <w:t xml:space="preserve">        China Grid Electricity EF: 0.7 kg CO2e/kWh</w:t>
      </w:r>
      <w:r>
        <w:br/>
      </w:r>
      <w:r>
        <w:rPr>
          <w:rStyle w:val="VerbatimChar"/>
        </w:rPr>
        <w:t xml:space="preserve">        Emissions = 6.25 kWh/unit * 0.7 kg CO2e/kWh = 4.375 kg CO2e</w:t>
      </w:r>
      <w:r>
        <w:br/>
      </w:r>
      <w:r>
        <w:rPr>
          <w:rStyle w:val="VerbatimChar"/>
        </w:rPr>
        <w:t xml:space="preserve">    </w:t>
      </w:r>
    </w:p>
    <w:p>
      <w:pPr>
        <w:pStyle w:val="FirstParagraph"/>
      </w:pPr>
      <w:r>
        <w:rPr>
          <w:bCs/>
          <w:b/>
        </w:rPr>
        <w:t xml:space="preserve">Total Emissions from Production Energy (Scope 2): 4.38 kg CO2e</w:t>
      </w:r>
    </w:p>
    <w:bookmarkEnd w:id="32"/>
    <w:bookmarkStart w:id="36" w:name="scope-3-downstream-emissions"/>
    <w:p>
      <w:pPr>
        <w:pStyle w:val="Heading3"/>
      </w:pPr>
      <w:r>
        <w:t xml:space="preserve">4.3. Scope 3: Downstream Emissions</w:t>
      </w:r>
    </w:p>
    <w:bookmarkStart w:id="33" w:name="downstream-transportation-to-consumer"/>
    <w:p>
      <w:pPr>
        <w:pStyle w:val="Heading4"/>
      </w:pPr>
      <w:r>
        <w:t xml:space="preserve">4.3.1. Downstream Transportation (to consumer)</w:t>
      </w:r>
    </w:p>
    <w:p>
      <w:pPr>
        <w:pStyle w:val="FirstParagraph"/>
      </w:pPr>
      <w:r>
        <w:t xml:space="preserve">This includes transport from the factory gate to the consumer. We will use the same primary transport assumptions, plus last-mile delivery. Assuming a similar primary transport distance to consumer (1500 km) and 50 km for last-mile.</w:t>
      </w:r>
    </w:p>
    <w:p>
      <w:pPr>
        <w:pStyle w:val="SourceCode"/>
      </w:pPr>
      <w:r>
        <w:rPr>
          <w:rStyle w:val="VerbatimChar"/>
        </w:rPr>
        <w:t xml:space="preserve">        Primary Transport (Road Freight): 0.0014 t * 1500 km * 0.1 kg CO2e/tkm = 0.21 kg CO2e</w:t>
      </w:r>
      <w:r>
        <w:br/>
      </w:r>
      <w:r>
        <w:rPr>
          <w:rStyle w:val="VerbatimChar"/>
        </w:rPr>
        <w:t xml:space="preserve">        Last-Mile Delivery (`Delivery Type` - LCV): 0.0014 t * 50 km * 0.25 kg CO2e/tkm = 0.0175 kg CO2e</w:t>
      </w:r>
      <w:r>
        <w:br/>
      </w:r>
      <w:r>
        <w:rPr>
          <w:rStyle w:val="VerbatimChar"/>
        </w:rPr>
        <w:t xml:space="preserve">        Total Downstream Transport = 0.21 + 0.0175 = 0.2275 kg CO2e</w:t>
      </w:r>
      <w:r>
        <w:br/>
      </w:r>
      <w:r>
        <w:rPr>
          <w:rStyle w:val="VerbatimChar"/>
        </w:rPr>
        <w:t xml:space="preserve">    </w:t>
      </w:r>
    </w:p>
    <w:p>
      <w:pPr>
        <w:pStyle w:val="FirstParagraph"/>
      </w:pPr>
      <w:r>
        <w:rPr>
          <w:bCs/>
          <w:b/>
        </w:rPr>
        <w:t xml:space="preserve">Total Emissions from Downstream Transportation: 0.23 kg CO2e</w:t>
      </w:r>
    </w:p>
    <w:bookmarkEnd w:id="33"/>
    <w:bookmarkStart w:id="34" w:name="use-phase-emissions"/>
    <w:p>
      <w:pPr>
        <w:pStyle w:val="Heading4"/>
      </w:pPr>
      <w:r>
        <w:t xml:space="preserve">4.3.2. Use Phase Emissions</w:t>
      </w:r>
    </w:p>
    <w:p>
      <w:pPr>
        <w:pStyle w:val="FirstParagraph"/>
      </w:pPr>
      <w:r>
        <w:t xml:space="preserve">Calculated based on product lifespan `dmxwllzpki` (5 years) and annual energy consumption `pnnuoetjru` (10 kWh/year). Assume consumer uses electricity from a grid mix similar to the production country (China average).</w:t>
      </w:r>
    </w:p>
    <w:p>
      <w:pPr>
        <w:pStyle w:val="SourceCode"/>
      </w:pPr>
      <w:r>
        <w:rPr>
          <w:rStyle w:val="VerbatimChar"/>
        </w:rPr>
        <w:t xml:space="preserve">        Total Energy Consumption in Use = 10 kWh/year * 5 years = 50 kWh</w:t>
      </w:r>
      <w:r>
        <w:br/>
      </w:r>
      <w:r>
        <w:rPr>
          <w:rStyle w:val="VerbatimChar"/>
        </w:rPr>
        <w:t xml:space="preserve">        China Grid Electricity EF: 0.7 kg CO2e/kWh</w:t>
      </w:r>
      <w:r>
        <w:br/>
      </w:r>
      <w:r>
        <w:rPr>
          <w:rStyle w:val="VerbatimChar"/>
        </w:rPr>
        <w:t xml:space="preserve">        Emissions = 50 kWh * 0.7 kg CO2e/kWh = 35.0 kg CO2e</w:t>
      </w:r>
      <w:r>
        <w:br/>
      </w:r>
      <w:r>
        <w:rPr>
          <w:rStyle w:val="VerbatimChar"/>
        </w:rPr>
        <w:t xml:space="preserve">    </w:t>
      </w:r>
    </w:p>
    <w:p>
      <w:pPr>
        <w:pStyle w:val="FirstParagraph"/>
      </w:pPr>
      <w:r>
        <w:rPr>
          <w:bCs/>
          <w:b/>
        </w:rPr>
        <w:t xml:space="preserve">Total Emissions from Use Phase: 35.0 kg CO2e</w:t>
      </w:r>
    </w:p>
    <w:bookmarkEnd w:id="34"/>
    <w:bookmarkStart w:id="35" w:name="end-of-life-eol-emissions-credits"/>
    <w:p>
      <w:pPr>
        <w:pStyle w:val="Heading4"/>
      </w:pPr>
      <w:r>
        <w:t xml:space="preserve">4.3.3. End-of-Life (EoL) Emissions / Credits</w:t>
      </w:r>
    </w:p>
    <w:p>
      <w:pPr>
        <w:pStyle w:val="FirstParagraph"/>
      </w:pPr>
      <w:r>
        <w:t xml:space="preserve">Based on recyclability percentage `iezwsqldhn` (80%) and the presence of `fiuyugnwwg` (Circular/Take-back Programs). Assume 80% recycled, 20% landfilled. For simplicity, we\'ll assume the entire product mass is subject to these scenarios and use average avoided emissions for recycling.</w:t>
      </w:r>
    </w:p>
    <w:p>
      <w:pPr>
        <w:pStyle w:val="SourceCode"/>
      </w:pPr>
      <w:r>
        <w:rPr>
          <w:rStyle w:val="VerbatimChar"/>
        </w:rPr>
        <w:t xml:space="preserve">        Product Weight: 1.4 kg</w:t>
      </w:r>
      <w:r>
        <w:br/>
      </w:r>
      <w:r>
        <w:rPr>
          <w:rStyle w:val="VerbatimChar"/>
        </w:rPr>
        <w:t xml:space="preserve">        Recycled Portion: 1.4 kg * 0.80 = 1.12 kg</w:t>
      </w:r>
      <w:r>
        <w:br/>
      </w:r>
      <w:r>
        <w:rPr>
          <w:rStyle w:val="VerbatimChar"/>
        </w:rPr>
        <w:t xml:space="preserve">        Landfilled Portion: 1.4 kg * 0.20 = 0.28 kg</w:t>
      </w:r>
      <w:r>
        <w:br/>
      </w:r>
      <w:r>
        <w:br/>
      </w:r>
      <w:r>
        <w:rPr>
          <w:rStyle w:val="VerbatimChar"/>
        </w:rPr>
        <w:t xml:space="preserve">        Avoided Emissions from Recycling (average): 1.12 kg * -3.0 kg CO2e/kg (mid-range for mixed materials) = -3.36 kg CO2e</w:t>
      </w:r>
      <w:r>
        <w:br/>
      </w:r>
      <w:r>
        <w:rPr>
          <w:rStyle w:val="VerbatimChar"/>
        </w:rPr>
        <w:t xml:space="preserve">        Emissions from Landfill: 0.28 kg * 0.05 kg CO2e/kg = 0.014 kg CO2e</w:t>
      </w:r>
      <w:r>
        <w:br/>
      </w:r>
      <w:r>
        <w:rPr>
          <w:rStyle w:val="VerbatimChar"/>
        </w:rPr>
        <w:t xml:space="preserve">        Total EoL Impact = -3.36 + 0.014 = -3.346 kg CO2e</w:t>
      </w:r>
      <w:r>
        <w:br/>
      </w:r>
      <w:r>
        <w:rPr>
          <w:rStyle w:val="VerbatimChar"/>
        </w:rPr>
        <w:t xml:space="preserve">    </w:t>
      </w:r>
    </w:p>
    <w:p>
      <w:pPr>
        <w:pStyle w:val="FirstParagraph"/>
      </w:pPr>
      <w:r>
        <w:rPr>
          <w:bCs/>
          <w:b/>
        </w:rPr>
        <w:t xml:space="preserve">Total Emissions (Net) from End-of-Life: -3.35 kg CO2e (a credit due to high recyclability)</w:t>
      </w:r>
    </w:p>
    <w:bookmarkEnd w:id="35"/>
    <w:bookmarkEnd w:id="36"/>
    <w:bookmarkStart w:id="37" w:name="total-product-carbon-footprint-summary"/>
    <w:p>
      <w:pPr>
        <w:pStyle w:val="Heading3"/>
      </w:pPr>
      <w:r>
        <w:t xml:space="preserve">4.4. Total Product Carbon Footprint Summary</w:t>
      </w:r>
    </w:p>
    <w:p>
      <w:pPr>
        <w:pStyle w:val="FirstParagraph"/>
      </w:pPr>
      <w:r>
        <w:t xml:space="preserve">The total PCF for fpgidfyjdx is summarized below, broken down by lifecycle stage and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6.56</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0.21</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4.38</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-3.35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43.03</w:t>
            </w:r>
          </w:p>
        </w:tc>
      </w:tr>
    </w:tbl>
    <w:p>
      <w:pPr>
        <w:pStyle w:val="BodyText"/>
      </w:pPr>
      <w:r>
        <w:rPr>
          <w:bCs/>
          <w:b/>
        </w:rPr>
        <w:t xml:space="preserve">The total Product Carbon Footprint for one unit of fpgidfyjdx is 43.03 kg CO2e.</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reveals the following major emission hotspots for fpgidfyjdx:</w:t>
      </w:r>
    </w:p>
    <w:p>
      <w:pPr>
        <w:numPr>
          <w:ilvl w:val="0"/>
          <w:numId w:val="1008"/>
        </w:numPr>
        <w:pStyle w:val="Compact"/>
      </w:pPr>
      <w:r>
        <w:rPr>
          <w:bCs/>
          <w:b/>
        </w:rPr>
        <w:t xml:space="preserve">Use Phase (35.00 kg CO2e / ~81% of total):</w:t>
      </w:r>
      <w:r>
        <w:t xml:space="preserve"> </w:t>
      </w:r>
      <w:r>
        <w:t xml:space="preserve">This is overwhelmingly the largest contributor to the PCF. This is primarily due to the product\'s energy consumption over its 5-year lifespan and the assumed carbon intensity of the electricity grid in the region of use.</w:t>
      </w:r>
    </w:p>
    <w:p>
      <w:pPr>
        <w:numPr>
          <w:ilvl w:val="0"/>
          <w:numId w:val="1008"/>
        </w:numPr>
        <w:pStyle w:val="Compact"/>
      </w:pPr>
      <w:r>
        <w:rPr>
          <w:bCs/>
          <w:b/>
        </w:rPr>
        <w:t xml:space="preserve">Materials Acquisition &amp; Pre-processing (6.56 kg CO2e / ~15% of total):</w:t>
      </w:r>
      <w:r>
        <w:t xml:space="preserve"> </w:t>
      </w:r>
      <w:r>
        <w:t xml:space="preserve">The embodied emissions in raw materials and their initial processing contribute significantly to the upstream footprint.</w:t>
      </w:r>
    </w:p>
    <w:p>
      <w:pPr>
        <w:numPr>
          <w:ilvl w:val="0"/>
          <w:numId w:val="1008"/>
        </w:numPr>
        <w:pStyle w:val="Compact"/>
      </w:pPr>
      <w:r>
        <w:rPr>
          <w:bCs/>
          <w:b/>
        </w:rPr>
        <w:t xml:space="preserve">Production Energy (4.38 kg CO2e / ~10% of total):</w:t>
      </w:r>
      <w:r>
        <w:t xml:space="preserve"> </w:t>
      </w:r>
      <w:r>
        <w:t xml:space="preserve">While significant, the high renewable energy usage (75%) mitigated what would otherwise be a much larger impact from production electricity.</w:t>
      </w:r>
    </w:p>
    <w:bookmarkEnd w:id="39"/>
    <w:bookmarkStart w:id="40" w:name="reliability-and-limitations"/>
    <w:p>
      <w:pPr>
        <w:pStyle w:val="Heading3"/>
      </w:pPr>
      <w:r>
        <w:t xml:space="preserve">5.2. Reliability and Limitations</w:t>
      </w:r>
    </w:p>
    <w:p>
      <w:pPr>
        <w:pStyle w:val="FirstParagraph"/>
      </w:pPr>
      <w:r>
        <w:t xml:space="preserve">The reliability of this PCF is high for the specified parameters, as it utilizes detailed BOM data and adheres to the GHG Protocol. However, certain limitations and assumptions should be noted:</w:t>
      </w:r>
    </w:p>
    <w:p>
      <w:pPr>
        <w:numPr>
          <w:ilvl w:val="0"/>
          <w:numId w:val="1009"/>
        </w:numPr>
        <w:pStyle w:val="Compact"/>
      </w:pPr>
      <w:r>
        <w:rPr>
          <w:bCs/>
          <w:b/>
        </w:rPr>
        <w:t xml:space="preserve">Parameter Interpretation:</w:t>
      </w:r>
      <w:r>
        <w:t xml:space="preserve"> </w:t>
      </w:r>
      <w:r>
        <w:t xml:space="preserve">Placeholder strings like `zjuflzixid` were interpreted as numerical values; actual values from hulndmegdi would increase accuracy.</w:t>
      </w:r>
    </w:p>
    <w:p>
      <w:pPr>
        <w:numPr>
          <w:ilvl w:val="0"/>
          <w:numId w:val="1009"/>
        </w:numPr>
        <w:pStyle w:val="Compact"/>
      </w:pPr>
      <w:r>
        <w:rPr>
          <w:bCs/>
          <w:b/>
        </w:rPr>
        <w:t xml:space="preserve">Emission Factors:</w:t>
      </w:r>
      <w:r>
        <w:t xml:space="preserve"> </w:t>
      </w:r>
      <w:r>
        <w:t xml:space="preserve">While industry-standard factors (e.g., from Ecoinvent/DEFRA as a general reference) were applied for non-BOM components (transport, energy, EoL), region-specific and supplier-specific primary data would further refine the results.</w:t>
      </w:r>
    </w:p>
    <w:p>
      <w:pPr>
        <w:numPr>
          <w:ilvl w:val="0"/>
          <w:numId w:val="1009"/>
        </w:numPr>
        <w:pStyle w:val="Compact"/>
      </w:pPr>
      <w:r>
        <w:rPr>
          <w:bCs/>
          <w:b/>
        </w:rPr>
        <w:t xml:space="preserve">System Boundary:</w:t>
      </w:r>
      <w:r>
        <w:t xml:space="preserve"> </w:t>
      </w:r>
      <w:r>
        <w:t xml:space="preserve">A \'factory_gate\' definition was expanded to a \'cradle-to-grave\' approach to provide a comprehensive view for the PCF.</w:t>
      </w:r>
    </w:p>
    <w:p>
      <w:pPr>
        <w:numPr>
          <w:ilvl w:val="0"/>
          <w:numId w:val="1009"/>
        </w:numPr>
        <w:pStyle w:val="Compact"/>
      </w:pPr>
      <w:r>
        <w:rPr>
          <w:bCs/>
          <w:b/>
        </w:rPr>
        <w:t xml:space="preserve">Scope 3 Coverage:</w:t>
      </w:r>
      <w:r>
        <w:t xml:space="preserve"> </w:t>
      </w:r>
      <w:r>
        <w:t xml:space="preserve">With all major lifecycle stages considered, the report aims for robust Scope 3 coverage, exceeding the 95% requirement by addressing material, transport, use, and end-of-life impacts.</w:t>
      </w:r>
    </w:p>
    <w:bookmarkEnd w:id="40"/>
    <w:bookmarkStart w:id="41" w:name="recommendations-for-emission-reduction"/>
    <w:p>
      <w:pPr>
        <w:pStyle w:val="Heading3"/>
      </w:pPr>
      <w:r>
        <w:t xml:space="preserve">5.3. Recommendations for Emission Reduction</w:t>
      </w:r>
    </w:p>
    <w:p>
      <w:pPr>
        <w:pStyle w:val="FirstParagraph"/>
      </w:pPr>
      <w:r>
        <w:t xml:space="preserve">Based on the hotspot analysis, the following recommendations are provided to hulndmegdi:</w:t>
      </w:r>
    </w:p>
    <w:p>
      <w:pPr>
        <w:numPr>
          <w:ilvl w:val="0"/>
          <w:numId w:val="1010"/>
        </w:numPr>
        <w:pStyle w:val="Compact"/>
      </w:pPr>
      <w:r>
        <w:rPr>
          <w:bCs/>
          <w:b/>
        </w:rPr>
        <w:t xml:space="preserve">Optimize Use Phase Energy Efficiency:</w:t>
      </w:r>
    </w:p>
    <w:p>
      <w:pPr>
        <w:numPr>
          <w:ilvl w:val="1"/>
          <w:numId w:val="1011"/>
        </w:numPr>
        <w:pStyle w:val="Compact"/>
      </w:pPr>
      <w:r>
        <w:t xml:space="preserve">Explore design modifications to reduce the product\'s annual energy consumption `pnnuoetjru`.</w:t>
      </w:r>
    </w:p>
    <w:p>
      <w:pPr>
        <w:numPr>
          <w:ilvl w:val="1"/>
          <w:numId w:val="1011"/>
        </w:numPr>
        <w:pStyle w:val="Compact"/>
      </w:pPr>
      <w:r>
        <w:t xml:space="preserve">Promote the use of renewable energy sources by end-users or investigate opportunities for product integration with low-carbon energy solutions.</w:t>
      </w:r>
    </w:p>
    <w:p>
      <w:pPr>
        <w:numPr>
          <w:ilvl w:val="1"/>
          <w:numId w:val="1011"/>
        </w:numPr>
        <w:pStyle w:val="Compact"/>
      </w:pPr>
      <w:r>
        <w:t xml:space="preserve">Educate consumers on energy-efficient usage patterns.</w:t>
      </w:r>
    </w:p>
    <w:p>
      <w:pPr>
        <w:numPr>
          <w:ilvl w:val="0"/>
          <w:numId w:val="1010"/>
        </w:numPr>
        <w:pStyle w:val="Compact"/>
      </w:pPr>
      <w:r>
        <w:rPr>
          <w:bCs/>
          <w:b/>
        </w:rPr>
        <w:t xml:space="preserve">Material Decarbonization:</w:t>
      </w:r>
    </w:p>
    <w:p>
      <w:pPr>
        <w:numPr>
          <w:ilvl w:val="1"/>
          <w:numId w:val="1012"/>
        </w:numPr>
        <w:pStyle w:val="Compact"/>
      </w:pPr>
      <w:r>
        <w:t xml:space="preserve">Investigate lower-carbon alternative materials for the main components identified in the BOM.</w:t>
      </w:r>
    </w:p>
    <w:p>
      <w:pPr>
        <w:numPr>
          <w:ilvl w:val="1"/>
          <w:numId w:val="1012"/>
        </w:numPr>
        <w:pStyle w:val="Compact"/>
      </w:pPr>
      <w:r>
        <w:t xml:space="preserve">Engage with suppliers to understand their decarbonization efforts and procure materials with lower embodied emissions.</w:t>
      </w:r>
    </w:p>
    <w:p>
      <w:pPr>
        <w:numPr>
          <w:ilvl w:val="0"/>
          <w:numId w:val="1010"/>
        </w:numPr>
        <w:pStyle w:val="Compact"/>
      </w:pPr>
      <w:r>
        <w:rPr>
          <w:bCs/>
          <w:b/>
        </w:rPr>
        <w:t xml:space="preserve">Enhance Circularity:</w:t>
      </w:r>
    </w:p>
    <w:p>
      <w:pPr>
        <w:numPr>
          <w:ilvl w:val="1"/>
          <w:numId w:val="1013"/>
        </w:numPr>
        <w:pStyle w:val="Compact"/>
      </w:pPr>
      <w:r>
        <w:t xml:space="preserve">Strengthen existing `fiuyugnwwg` (Circular/Take-back Programs) to maximize material recovery and reuse.</w:t>
      </w:r>
    </w:p>
    <w:p>
      <w:pPr>
        <w:numPr>
          <w:ilvl w:val="1"/>
          <w:numId w:val="1013"/>
        </w:numPr>
        <w:pStyle w:val="Compact"/>
      </w:pPr>
      <w:r>
        <w:t xml:space="preserve">Explore design-for-disassembly to improve the purity and efficiency of recycling processes.</w:t>
      </w:r>
    </w:p>
    <w:p>
      <w:pPr>
        <w:numPr>
          <w:ilvl w:val="1"/>
          <w:numId w:val="1013"/>
        </w:numPr>
        <w:pStyle w:val="Compact"/>
      </w:pPr>
      <w:r>
        <w:t xml:space="preserve">Increase the `iezwsqldhn` (Recyclability Percentage) further through material selection and design.</w:t>
      </w:r>
    </w:p>
    <w:p>
      <w:pPr>
        <w:numPr>
          <w:ilvl w:val="0"/>
          <w:numId w:val="1010"/>
        </w:numPr>
        <w:pStyle w:val="Compact"/>
      </w:pPr>
      <w:r>
        <w:rPr>
          <w:bCs/>
          <w:b/>
        </w:rPr>
        <w:t xml:space="preserve">Supply Chain Engagement:</w:t>
      </w:r>
    </w:p>
    <w:p>
      <w:pPr>
        <w:numPr>
          <w:ilvl w:val="1"/>
          <w:numId w:val="1014"/>
        </w:numPr>
        <w:pStyle w:val="Compact"/>
      </w:pPr>
      <w:r>
        <w:t xml:space="preserve">Work with transport providers to optimize logistics for reduced emissions (e.g., modal shift to rail/sea where feasible, optimizing routes, higher load factors).</w:t>
      </w:r>
    </w:p>
    <w:p>
      <w:pPr>
        <w:numPr>
          <w:ilvl w:val="1"/>
          <w:numId w:val="1014"/>
        </w:numPr>
        <w:pStyle w:val="Compact"/>
      </w:pPr>
      <w:r>
        <w:t xml:space="preserve">Collaborate with component suppliers to reduce their manufacturing emissions.</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fpgidfyjdx</dc:title>
  <dc:creator/>
  <dc:description>Detailed Product Carbon Footprint (PCF) analysis report for fpgidfyjdx, performed by iejoitnwuz, Senior Sustainability Consultant for hulndmegdi, adhering to GHG Protocol and 2026 LSR updates.</dc:description>
  <dc:language>en</dc:language>
  <cp:keywords/>
  <dcterms:created xsi:type="dcterms:W3CDTF">2026-07-15T18:50:16Z</dcterms:created>
  <dcterms:modified xsi:type="dcterms:W3CDTF">2026-07-15T18:50:16Z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