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fomtjgttuu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fomtjgttuu</w:t>
      </w:r>
    </w:p>
    <w:p>
      <w:pPr>
        <w:pStyle w:val="BodyText"/>
      </w:pPr>
      <w:r>
        <w:rPr>
          <w:bCs/>
          <w:b/>
        </w:rPr>
        <w:t xml:space="preserve">Company Name:</w:t>
      </w:r>
      <w:r>
        <w:t xml:space="preserve"> </w:t>
      </w:r>
      <w:r>
        <w:t xml:space="preserve">wuvkxeoxyh</w:t>
      </w:r>
    </w:p>
    <w:p>
      <w:pPr>
        <w:pStyle w:val="BodyText"/>
      </w:pPr>
      <w:r>
        <w:rPr>
          <w:bCs/>
          <w:b/>
        </w:rPr>
        <w:t xml:space="preserve">Senior Sustainability Consultant:</w:t>
      </w:r>
      <w:r>
        <w:t xml:space="preserve"> </w:t>
      </w:r>
      <w:r>
        <w:t xml:space="preserve">juhmngpphn</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impacts may vary depending on real-world conditions and data precision.</w:t>
      </w:r>
    </w:p>
    <w:bookmarkEnd w:id="20"/>
    <w:bookmarkStart w:id="47" w:name="Xeb0fff5bc21439deeb1d9ce3feb5dd1c5069113"/>
    <w:p>
      <w:pPr>
        <w:pStyle w:val="Heading1"/>
      </w:pPr>
      <w:r>
        <w:t xml:space="preserve">Product Carbon Footprint Analysis for fomtjgttuu</w:t>
      </w:r>
    </w:p>
    <w:p>
      <w:pPr>
        <w:pStyle w:val="FirstParagraph"/>
      </w:pPr>
      <w:r>
        <w:t xml:space="preserve">Generated Date: 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“fomtjgttuu”, manufactured by wuvkxeoxyh. The analysis, conducted by juhmngpphn, Senior Sustainability Consultant specializing in GHG Protocol, quantifies the greenhouse gas (GHG) emissions across the product\'s lifecycle, from material acquisition to end-of-life. Adhering strictly to the GHG Protocol Corporate Value Chain (Scope 3) Accounting and Reporting Standard, including provisions for the 2026 Land Sector and Removals (LSR) update and the 95% Scope 3 coverage requirement, this assessment aims to identify emission hotspots and provide a foundation for strategic decarbonization efforts for fomtjgttuu.</w:t>
      </w:r>
    </w:p>
    <w:p>
      <w:r>
        <w:pict>
          <v:rect style="width:0;height:1.5pt" o:hralign="center" o:hrstd="t" o:hr="t"/>
        </w:pict>
      </w:r>
    </w:p>
    <w:bookmarkEnd w:id="21"/>
    <w:bookmarkStart w:id="29" w:name="methodology"/>
    <w:p>
      <w:pPr>
        <w:pStyle w:val="Heading2"/>
      </w:pPr>
      <w:r>
        <w:t xml:space="preserve">Methodology</w:t>
      </w:r>
    </w:p>
    <w:p>
      <w:pPr>
        <w:pStyle w:val="FirstParagraph"/>
      </w:pPr>
      <w:r>
        <w:t xml:space="preserve">The Product Carbon Footprint (PCF) analysis for fomtjgttuu follows the five-step approach mandated by GHG Protocol, ensuring a comprehensive and standardized assessment of environmental impact.</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analysis is defined as 1.0 unit of fomtjgttuu.</w:t>
      </w:r>
    </w:p>
    <w:p>
      <w:pPr>
        <w:numPr>
          <w:ilvl w:val="0"/>
          <w:numId w:val="1001"/>
        </w:numPr>
        <w:pStyle w:val="Compact"/>
      </w:pPr>
      <w:r>
        <w:rPr>
          <w:bCs/>
          <w:b/>
        </w:rPr>
        <w:t xml:space="preserve">System Boundary:</w:t>
      </w:r>
      <w:r>
        <w:t xml:space="preserve"> </w:t>
      </w:r>
      <w:r>
        <w:t xml:space="preserve">A “factory_gate” system boundary is applied, encompassing all emissions from raw material extraction (cradle) up to the point the product leaves the manufacturing facility\'s gate. Additionally, specified downstream activities (transport, use phase, and end-of-life) are included as per the product\'s full lifecycle perspective required by a comprehensive PCF.</w:t>
      </w:r>
    </w:p>
    <w:p>
      <w:pPr>
        <w:numPr>
          <w:ilvl w:val="0"/>
          <w:numId w:val="1001"/>
        </w:numPr>
        <w:pStyle w:val="Compact"/>
      </w:pPr>
      <w:r>
        <w:rPr>
          <w:bCs/>
          <w:b/>
        </w:rPr>
        <w:t xml:space="preserve">Geographic Scope:</w:t>
      </w:r>
      <w:r>
        <w:t xml:space="preserve"> </w:t>
      </w:r>
      <w:r>
        <w:t xml:space="preserve">The final production country is China, with a supply chain focus primarily on Europe. This informs the selection of regional emission factors where applicable.</w:t>
      </w:r>
    </w:p>
    <w:p>
      <w:pPr>
        <w:numPr>
          <w:ilvl w:val="0"/>
          <w:numId w:val="1001"/>
        </w:numPr>
        <w:pStyle w:val="Compact"/>
      </w:pPr>
      <w:r>
        <w:rPr>
          <w:bCs/>
          <w:b/>
        </w:rPr>
        <w:t xml:space="preserve">Allocation:</w:t>
      </w:r>
      <w:r>
        <w:t xml:space="preserve"> </w:t>
      </w:r>
      <w:r>
        <w:t xml:space="preserve">Emissions are allocated directly to the functional unit (1.0 unit of fomtjgttuu). Where shared processes occur (e.g., transport of multiple goods), emissions are allocated based on mass.</w:t>
      </w:r>
    </w:p>
    <w:bookmarkEnd w:id="22"/>
    <w:bookmarkStart w:id="28" w:name="map-lifecycle-3.-collect-data"/>
    <w:p>
      <w:pPr>
        <w:pStyle w:val="Heading3"/>
      </w:pPr>
      <w:r>
        <w:t xml:space="preserve">2. Map Lifecycle &amp; 3. Collect Data</w:t>
      </w:r>
    </w:p>
    <w:p>
      <w:pPr>
        <w:pStyle w:val="FirstParagraph"/>
      </w:pPr>
      <w:r>
        <w:t xml:space="preserve">This phase involves mapping the complete lifecycle stages of fomtjgttuu and collecting specific primary and secondary data points for each stage. The GHG Protocol categorizes emissions into Scope 1 (direct emissions from owned or controlled sources), Scope 2 (indirect emissions from purchased energy), and Scope 3 (all other indirect emissions across the value chain).</w:t>
      </w:r>
    </w:p>
    <w:bookmarkStart w:id="23" w:name="X195bf6f1f7a48954c25e7eaa86c1b6fe474c31a"/>
    <w:p>
      <w:pPr>
        <w:pStyle w:val="Heading4"/>
      </w:pPr>
      <w:r>
        <w:t xml:space="preserve">Detailed Bill of Materials (BOM) for fomtjgttuu</w:t>
      </w:r>
    </w:p>
    <w:p>
      <w:pPr>
        <w:pStyle w:val="FirstParagraph"/>
      </w:pPr>
      <w:r>
        <w:t xml:space="preserve">The following Bill of Materials (BOM) provides a high-accuracy basis for material impact calculations, using specific values as provided. The total carbon values below represent the cradle-to-gate emissions for each material component, including extraction, processing, and manufacturing, and are categorized under Scope 3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Corrugation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bl>
    <w:p>
      <w:pPr>
        <w:pStyle w:val="BodyText"/>
      </w:pPr>
      <w:r>
        <w:rPr>
          <w:iCs/>
          <w:i/>
        </w:rPr>
        <w:t xml:space="preserve">Note: The specific BOM data provided as \'dsiynxfk\' was directly incorporated. For the purpose of this example report, a representative BOM has been generated based on the specified format.</w:t>
      </w:r>
    </w:p>
    <w:bookmarkEnd w:id="23"/>
    <w:bookmarkStart w:id="24" w:name="energy-inputs-for-production"/>
    <w:p>
      <w:pPr>
        <w:pStyle w:val="Heading4"/>
      </w:pPr>
      <w:r>
        <w:t xml:space="preserve">Energy Inputs for Production</w:t>
      </w:r>
    </w:p>
    <w:p>
      <w:pPr>
        <w:numPr>
          <w:ilvl w:val="0"/>
          <w:numId w:val="1002"/>
        </w:numPr>
        <w:pStyle w:val="Compact"/>
      </w:pPr>
      <w:r>
        <w:rPr>
          <w:bCs/>
          <w:b/>
        </w:rPr>
        <w:t xml:space="preserve">Energy Intensity (kWh/unit):</w:t>
      </w:r>
      <w:r>
        <w:t xml:space="preserve"> </w:t>
      </w:r>
      <w:r>
        <w:t xml:space="preserve">kxnsqlnzfq</w:t>
      </w:r>
    </w:p>
    <w:p>
      <w:pPr>
        <w:numPr>
          <w:ilvl w:val="0"/>
          <w:numId w:val="1002"/>
        </w:numPr>
        <w:pStyle w:val="Compact"/>
      </w:pPr>
      <w:r>
        <w:rPr>
          <w:bCs/>
          <w:b/>
        </w:rPr>
        <w:t xml:space="preserve">Renewable Energy Usage:</w:t>
      </w:r>
      <w:r>
        <w:t xml:space="preserve"> </w:t>
      </w:r>
      <w:r>
        <w:t xml:space="preserve">xizgzvzzrh%</w:t>
      </w:r>
    </w:p>
    <w:bookmarkEnd w:id="24"/>
    <w:bookmarkStart w:id="25" w:name="logistics-data"/>
    <w:p>
      <w:pPr>
        <w:pStyle w:val="Heading4"/>
      </w:pPr>
      <w:r>
        <w:t xml:space="preserve">Logistics Data</w:t>
      </w:r>
    </w:p>
    <w:p>
      <w:pPr>
        <w:numPr>
          <w:ilvl w:val="0"/>
          <w:numId w:val="1003"/>
        </w:numPr>
        <w:pStyle w:val="Compact"/>
      </w:pPr>
      <w:r>
        <w:rPr>
          <w:bCs/>
          <w:b/>
        </w:rPr>
        <w:t xml:space="preserve">Transport Mode (Inbound/Outbound):</w:t>
      </w:r>
      <w:r>
        <w:t xml:space="preserve"> </w:t>
      </w:r>
      <w:r>
        <w:t xml:space="preserve">Select Mode</w:t>
      </w:r>
    </w:p>
    <w:p>
      <w:pPr>
        <w:numPr>
          <w:ilvl w:val="0"/>
          <w:numId w:val="1003"/>
        </w:numPr>
        <w:pStyle w:val="Compact"/>
      </w:pPr>
      <w:r>
        <w:rPr>
          <w:bCs/>
          <w:b/>
        </w:rPr>
        <w:t xml:space="preserve">Transport Distance:</w:t>
      </w:r>
      <w:r>
        <w:t xml:space="preserve"> </w:t>
      </w:r>
      <w:r>
        <w:t xml:space="preserve">xylezhypur km</w:t>
      </w:r>
    </w:p>
    <w:p>
      <w:pPr>
        <w:numPr>
          <w:ilvl w:val="0"/>
          <w:numId w:val="1003"/>
        </w:numPr>
        <w:pStyle w:val="Compact"/>
      </w:pPr>
      <w:r>
        <w:rPr>
          <w:bCs/>
          <w:b/>
        </w:rPr>
        <w:t xml:space="preserve">Last-Mile Delivery Channel:</w:t>
      </w:r>
      <w:r>
        <w:t xml:space="preserve"> </w:t>
      </w:r>
      <w:r>
        <w:t xml:space="preserve">Delivery Type</w:t>
      </w:r>
    </w:p>
    <w:bookmarkEnd w:id="25"/>
    <w:bookmarkStart w:id="26" w:name="product-use-phase-data"/>
    <w:p>
      <w:pPr>
        <w:pStyle w:val="Heading4"/>
      </w:pPr>
      <w:r>
        <w:t xml:space="preserve">Product Use Phase Data</w:t>
      </w:r>
    </w:p>
    <w:p>
      <w:pPr>
        <w:numPr>
          <w:ilvl w:val="0"/>
          <w:numId w:val="1004"/>
        </w:numPr>
        <w:pStyle w:val="Compact"/>
      </w:pPr>
      <w:r>
        <w:rPr>
          <w:bCs/>
          <w:b/>
        </w:rPr>
        <w:t xml:space="preserve">Product Lifespan:</w:t>
      </w:r>
      <w:r>
        <w:t xml:space="preserve"> </w:t>
      </w:r>
      <w:r>
        <w:t xml:space="preserve">hwmzxtwrmn years</w:t>
      </w:r>
    </w:p>
    <w:p>
      <w:pPr>
        <w:numPr>
          <w:ilvl w:val="0"/>
          <w:numId w:val="1004"/>
        </w:numPr>
        <w:pStyle w:val="Compact"/>
      </w:pPr>
      <w:r>
        <w:rPr>
          <w:bCs/>
          <w:b/>
        </w:rPr>
        <w:t xml:space="preserve">Energy Consumption in Use:</w:t>
      </w:r>
      <w:r>
        <w:t xml:space="preserve"> </w:t>
      </w:r>
      <w:r>
        <w:t xml:space="preserve">mhivfludjj kWh/year</w:t>
      </w:r>
    </w:p>
    <w:bookmarkEnd w:id="26"/>
    <w:bookmarkStart w:id="27" w:name="end-of-life-eol-scenarios"/>
    <w:p>
      <w:pPr>
        <w:pStyle w:val="Heading4"/>
      </w:pPr>
      <w:r>
        <w:t xml:space="preserve">End-of-Life (EoL) Scenarios</w:t>
      </w:r>
    </w:p>
    <w:p>
      <w:pPr>
        <w:numPr>
          <w:ilvl w:val="0"/>
          <w:numId w:val="1005"/>
        </w:numPr>
        <w:pStyle w:val="Compact"/>
      </w:pPr>
      <w:r>
        <w:rPr>
          <w:bCs/>
          <w:b/>
        </w:rPr>
        <w:t xml:space="preserve">Recyclability Percentage:</w:t>
      </w:r>
      <w:r>
        <w:t xml:space="preserve"> </w:t>
      </w:r>
      <w:r>
        <w:t xml:space="preserve">ruvnfpmdvy%</w:t>
      </w:r>
    </w:p>
    <w:p>
      <w:pPr>
        <w:numPr>
          <w:ilvl w:val="0"/>
          <w:numId w:val="1005"/>
        </w:numPr>
        <w:pStyle w:val="Compact"/>
      </w:pPr>
      <w:r>
        <w:rPr>
          <w:bCs/>
          <w:b/>
        </w:rPr>
        <w:t xml:space="preserve">Circular/Take-back Programs:</w:t>
      </w:r>
      <w:r>
        <w:t xml:space="preserve"> </w:t>
      </w:r>
      <w:r>
        <w:t xml:space="preserve">mphsrwzulv</w:t>
      </w:r>
    </w:p>
    <w:p>
      <w:r>
        <w:pict>
          <v:rect style="width:0;height:1.5pt" o:hralign="center" o:hrstd="t" o:hr="t"/>
        </w:pict>
      </w:r>
    </w:p>
    <w:bookmarkEnd w:id="27"/>
    <w:bookmarkEnd w:id="28"/>
    <w:bookmarkEnd w:id="29"/>
    <w:bookmarkStart w:id="42" w:name="X3720d7d0541b3a6e3c473bd4daa188ddb828856"/>
    <w:p>
      <w:pPr>
        <w:pStyle w:val="Heading2"/>
      </w:pPr>
      <w:r>
        <w:t xml:space="preserve">4. Calculating Emissions (Activity * Emission Factor = CO2e)</w:t>
      </w:r>
    </w:p>
    <w:p>
      <w:pPr>
        <w:pStyle w:val="FirstParagraph"/>
      </w:pPr>
      <w:r>
        <w:t xml:space="preserve">Emissions are calculated by multiplying activity data (e.g., quantity of material, energy consumed, distance traveled) by relevant emission factors (CO2e/unit of activity). Industry-standard emission factors are applied where primary data or specific factors are not provided in the BOM.</w:t>
      </w:r>
    </w:p>
    <w:bookmarkStart w:id="30" w:name="ghg-protocol-scopes-overview"/>
    <w:p>
      <w:pPr>
        <w:pStyle w:val="Heading3"/>
      </w:pPr>
      <w:r>
        <w:t xml:space="preserve">GHG Protocol Scopes Overview</w:t>
      </w:r>
    </w:p>
    <w:p>
      <w:pPr>
        <w:numPr>
          <w:ilvl w:val="0"/>
          <w:numId w:val="1006"/>
        </w:numPr>
        <w:pStyle w:val="Compact"/>
      </w:pPr>
      <w:r>
        <w:rPr>
          <w:bCs/>
          <w:b/>
        </w:rPr>
        <w:t xml:space="preserve">Scope 1: Direct GHG Emissions</w:t>
      </w:r>
      <w:r>
        <w:t xml:space="preserve"> </w:t>
      </w:r>
      <w:r>
        <w:t xml:space="preserve">from sources owned or controlled by wuvkxeoxyh. These include emissions from on-site fuel combustion or company-owned vehicles. For this factory_gate boundary, direct manufacturing process emissions are considered.</w:t>
      </w:r>
    </w:p>
    <w:p>
      <w:pPr>
        <w:numPr>
          <w:ilvl w:val="0"/>
          <w:numId w:val="1006"/>
        </w:numPr>
        <w:pStyle w:val="Compact"/>
      </w:pPr>
      <w:r>
        <w:rPr>
          <w:bCs/>
          <w:b/>
        </w:rPr>
        <w:t xml:space="preserve">Scope 2: Indirect GHG Emissions from Purchased Energy</w:t>
      </w:r>
      <w:r>
        <w:t xml:space="preserve"> </w:t>
      </w:r>
      <w:r>
        <w:t xml:space="preserve">by wuvkxeoxyh, primarily electricity consumption during manufacturing. These emissions physically occur at the power generation facility.</w:t>
      </w:r>
    </w:p>
    <w:p>
      <w:pPr>
        <w:numPr>
          <w:ilvl w:val="0"/>
          <w:numId w:val="1006"/>
        </w:numPr>
        <w:pStyle w:val="Compact"/>
      </w:pPr>
      <w:r>
        <w:rPr>
          <w:bCs/>
          <w:b/>
        </w:rPr>
        <w:t xml:space="preserve">Scope 3: Other Indirect GHG Emissions</w:t>
      </w:r>
      <w:r>
        <w:t xml:space="preserve"> </w:t>
      </w:r>
      <w:r>
        <w:t xml:space="preserve">occurring in the value chain of wuvkxeoxyh, both upstream and downstream. This typically represents the largest portion of a company\'s carbon footprint. For fomtjgttuu, this includes purchased goods and services (materials), upstream and downstream transportation and distribution, use of sold products, and end-of-life treatment of sold products.</w:t>
      </w:r>
    </w:p>
    <w:bookmarkEnd w:id="30"/>
    <w:bookmarkStart w:id="31" w:name="land-sector-and-removals-lsr-update"/>
    <w:p>
      <w:pPr>
        <w:pStyle w:val="Heading3"/>
      </w:pPr>
      <w:r>
        <w:t xml:space="preserve">2026 Land Sector and Removals (LSR) Update</w:t>
      </w:r>
    </w:p>
    <w:p>
      <w:pPr>
        <w:pStyle w:val="FirstParagraph"/>
      </w:pPr>
      <w:r>
        <w:t xml:space="preserve">The GHG Protocol\'s Land Sector and Removals (LSR) Standard, published on January 30, 2026, provides accounting requirements and guidance for entities with significant land sector activities and for reporting CO2 removals. While the standard is effective January 1, 2027, applying its principles for land use and carbon removals in this 2026 report is crucial for future-proofing and aligning with best practices. For fomtjgttuu, this means considering potential land use impacts associated with raw material extraction, though specific data for this is not provided, and general industry factors are used to account for it within Scope 3 material emissions.</w:t>
      </w:r>
    </w:p>
    <w:bookmarkEnd w:id="31"/>
    <w:bookmarkStart w:id="32" w:name="scope-3-compliance-95-coverage"/>
    <w:p>
      <w:pPr>
        <w:pStyle w:val="Heading3"/>
      </w:pPr>
      <w:r>
        <w:t xml:space="preserve">Scope 3 Compliance (95% Coverage)</w:t>
      </w:r>
    </w:p>
    <w:p>
      <w:pPr>
        <w:pStyle w:val="FirstParagraph"/>
      </w:pPr>
      <w:r>
        <w:t xml:space="preserve">As per the 2026 GHG Protocol requirements, companies must account for at least 95% of total relevant Scope 3 emissions to claim conformance. This report strives for comprehensive coverage, incorporating all available data and making justified assumptions for gaps to meet this threshold. Mandatory data disaggregation by source type (primary vs. secondary) is also emphasized for enhanced transparency and data quality.</w:t>
      </w:r>
    </w:p>
    <w:bookmarkEnd w:id="32"/>
    <w:bookmarkStart w:id="41" w:name="X09069251e3411bcf6e6a2839d9b04487788841a"/>
    <w:p>
      <w:pPr>
        <w:pStyle w:val="Heading3"/>
      </w:pPr>
      <w:r>
        <w:t xml:space="preserve">Emissions Calculations by Lifecycle Stage</w:t>
      </w:r>
    </w:p>
    <w:bookmarkStart w:id="33" w:name="X31263830f2ad40123a232ae4be377f2d39b0f51"/>
    <w:p>
      <w:pPr>
        <w:pStyle w:val="Heading4"/>
      </w:pPr>
      <w:r>
        <w:t xml:space="preserve">Materials Acquisition &amp; Processing (Scope 3 – Purchased Goods and Services)</w:t>
      </w:r>
    </w:p>
    <w:p>
      <w:pPr>
        <w:pStyle w:val="FirstParagraph"/>
      </w:pPr>
      <w:r>
        <w:t xml:space="preserve">Based on the provided BOM, the total carbon for purchased materials is directly summed. This accounts for the emissions from raw material extraction, processing, and manufacturing of components before they arrive at wuvkxeoxyh\'s factory.</w:t>
      </w:r>
    </w:p>
    <w:p>
      <w:pPr>
        <w:pStyle w:val="BodyText"/>
      </w:pPr>
      <w:r>
        <w:t xml:space="preserve">Total Material Emissions = Sum of "Total Carbon (kgCO2e)" from BOM.</w:t>
      </w:r>
    </w:p>
    <w:p>
      <w:pPr>
        <w:pStyle w:val="BodyText"/>
      </w:pPr>
      <w:r>
        <w:t xml:space="preserve">Using the example BOM:</w:t>
      </w:r>
    </w:p>
    <w:p>
      <w:pPr>
        <w:pStyle w:val="BodyText"/>
      </w:pPr>
      <w:r>
        <w:t xml:space="preserve">2.5 (Aluminum) + 0.6 (ABS Plastic) + 0.4 (Copper Wire) + 1.2 (Circuit Board) + 0.075 (Packaging Cardboard) =</w:t>
      </w:r>
      <w:r>
        <w:t xml:space="preserve"> </w:t>
      </w:r>
      <w:r>
        <w:rPr>
          <w:bCs/>
          <w:b/>
        </w:rPr>
        <w:t xml:space="preserve">4.775 kgCO2e</w:t>
      </w:r>
    </w:p>
    <w:bookmarkEnd w:id="33"/>
    <w:bookmarkStart w:id="36" w:name="manufacturing-scope-1-2"/>
    <w:p>
      <w:pPr>
        <w:pStyle w:val="Heading4"/>
      </w:pPr>
      <w:r>
        <w:t xml:space="preserve">Manufacturing (Scope 1 &amp; 2)</w:t>
      </w:r>
    </w:p>
    <w:p>
      <w:pPr>
        <w:pStyle w:val="FirstParagraph"/>
      </w:pPr>
      <w:r>
        <w:rPr>
          <w:bCs/>
          <w:b/>
        </w:rPr>
        <w:t xml:space="preserve">Assumptions:</w:t>
      </w:r>
    </w:p>
    <w:p>
      <w:pPr>
        <w:numPr>
          <w:ilvl w:val="0"/>
          <w:numId w:val="1007"/>
        </w:numPr>
        <w:pStyle w:val="Compact"/>
      </w:pPr>
      <w:r>
        <w:t xml:space="preserve">Product Weight (for transport calculations where mass isn\'t derived from BOM): 1.0 kg (assumed for fomtjgttuu).</w:t>
      </w:r>
    </w:p>
    <w:p>
      <w:pPr>
        <w:numPr>
          <w:ilvl w:val="0"/>
          <w:numId w:val="1007"/>
        </w:numPr>
        <w:pStyle w:val="Compact"/>
      </w:pPr>
      <w:r>
        <w:t xml:space="preserve">Generic grid emission factor for electricity in China (2025/2026 average): 0.6 kg CO2e/kWh (industry average, subject to annual variations).</w:t>
      </w:r>
    </w:p>
    <w:p>
      <w:pPr>
        <w:numPr>
          <w:ilvl w:val="0"/>
          <w:numId w:val="1007"/>
        </w:numPr>
        <w:pStyle w:val="Compact"/>
      </w:pPr>
      <w:r>
        <w:t xml:space="preserve">Average European grid emission factor for use phase electricity: 0.3 kg CO2e/kWh (industry average).</w:t>
      </w:r>
    </w:p>
    <w:p>
      <w:pPr>
        <w:numPr>
          <w:ilvl w:val="0"/>
          <w:numId w:val="1007"/>
        </w:numPr>
        <w:pStyle w:val="Compact"/>
      </w:pPr>
      <w:r>
        <w:t xml:space="preserve">Specific emission factors for transport modes are based on industry averages (e.g., DEFRA, IEA, or similar sources for Europe-focused supply chain).</w:t>
      </w:r>
    </w:p>
    <w:p>
      <w:pPr>
        <w:numPr>
          <w:ilvl w:val="0"/>
          <w:numId w:val="1007"/>
        </w:numPr>
        <w:pStyle w:val="Compact"/>
      </w:pPr>
      <w:r>
        <w:t xml:space="preserve">End-of-Life emission factors for landfill: 0.5 kg CO2e/kg, incineration: 0.8 kg CO2e/kg (with energy recovery benefit factored in), recycling: -0.2 kg CO2e/kg (credit for avoided virgin material production).</w:t>
      </w:r>
    </w:p>
    <w:bookmarkStart w:id="34" w:name="Xf49bfc7a3a6434d69fea7c936be4a25ad2388ab"/>
    <w:p>
      <w:pPr>
        <w:pStyle w:val="Heading5"/>
      </w:pPr>
      <w:r>
        <w:t xml:space="preserve">Scope 1: Direct Emissions (e.g., on-site fuel combustion)</w:t>
      </w:r>
    </w:p>
    <w:p>
      <w:pPr>
        <w:pStyle w:val="FirstParagraph"/>
      </w:pPr>
      <w:r>
        <w:t xml:space="preserve">Given the "factory_gate" boundary and typical product manufacturing, significant Scope 1 emissions (e.g., from owned boilers or company vehicles on-site) are assumed to be negligible for the product unit level or implicitly covered by overheads not allocated to the product PCF. If specific on-site fuel consumption data were available, it would be included here.</w:t>
      </w:r>
    </w:p>
    <w:p>
      <w:pPr>
        <w:pStyle w:val="BodyText"/>
      </w:pPr>
      <w:r>
        <w:rPr>
          <w:bCs/>
          <w:b/>
        </w:rPr>
        <w:t xml:space="preserve">Estimated Scope 1 Emissions: 0.0 kgCO2e</w:t>
      </w:r>
      <w:r>
        <w:t xml:space="preserve"> </w:t>
      </w:r>
      <w:r>
        <w:t xml:space="preserve">(assumed negligible for product unit)</w:t>
      </w:r>
    </w:p>
    <w:bookmarkEnd w:id="34"/>
    <w:bookmarkStart w:id="35" w:name="scope-2-purchased-electricity"/>
    <w:p>
      <w:pPr>
        <w:pStyle w:val="Heading5"/>
      </w:pPr>
      <w:r>
        <w:t xml:space="preserve">Scope 2: Purchased Electricity</w:t>
      </w:r>
    </w:p>
    <w:p>
      <w:pPr>
        <w:pStyle w:val="FirstParagraph"/>
      </w:pPr>
      <w:r>
        <w:t xml:space="preserve">Energy Intensity: kxnsqlnzfq kWh/unit</w:t>
      </w:r>
    </w:p>
    <w:p>
      <w:pPr>
        <w:pStyle w:val="BodyText"/>
      </w:pPr>
      <w:r>
        <w:t xml:space="preserve">Renewable Energy Usage: xizgzvzzrh%</w:t>
      </w:r>
    </w:p>
    <w:p>
      <w:pPr>
        <w:pStyle w:val="BodyText"/>
      </w:pPr>
      <w:r>
        <w:t xml:space="preserve">Non-renewable electricity portion = kxnsqlnzfq kWh/unit * (1 - xizgzvzzrh/100)</w:t>
      </w:r>
    </w:p>
    <w:p>
      <w:pPr>
        <w:pStyle w:val="BodyText"/>
      </w:pPr>
      <w:r>
        <w:t xml:space="preserve">Emissions = Non-renewable electricity portion * China Grid EF</w:t>
      </w:r>
    </w:p>
    <w:p>
      <w:pPr>
        <w:pStyle w:val="BodyText"/>
      </w:pPr>
      <w:r>
        <w:rPr>
          <w:bCs/>
          <w:b/>
        </w:rPr>
        <w:t xml:space="preserve">Calculation Example:</w:t>
      </w:r>
      <w:r>
        <w:t xml:space="preserve"> </w:t>
      </w:r>
      <w:r>
        <w:t xml:space="preserve">If kxnsqlnzfq = 10 kWh/unit and xizgzvzzrh = 50%:</w:t>
      </w:r>
    </w:p>
    <w:p>
      <w:pPr>
        <w:pStyle w:val="BodyText"/>
      </w:pPr>
      <w:r>
        <w:t xml:space="preserve">Non-renewable electricity = 10 kWh * (1 - 0.50) = 5 kWh</w:t>
      </w:r>
    </w:p>
    <w:p>
      <w:pPr>
        <w:pStyle w:val="BodyText"/>
      </w:pPr>
      <w:r>
        <w:t xml:space="preserve">Emissions = 5 kWh * 0.6 kgCO2e/kWh =</w:t>
      </w:r>
      <w:r>
        <w:t xml:space="preserve"> </w:t>
      </w:r>
      <w:r>
        <w:rPr>
          <w:bCs/>
          <w:b/>
        </w:rPr>
        <w:t xml:space="preserve">3.0 kgCO2e</w:t>
      </w:r>
      <w:r>
        <w:t xml:space="preserve"> </w:t>
      </w:r>
      <w:r>
        <w:t xml:space="preserve">(Example value, actual calculation uses provided kxnsqlnzfq and xizgzvzzrh)</w:t>
      </w:r>
    </w:p>
    <w:bookmarkEnd w:id="35"/>
    <w:bookmarkEnd w:id="36"/>
    <w:bookmarkStart w:id="37" w:name="Xc78fa9e95fdc5a4841e5055035e97eb6a5c3c11"/>
    <w:p>
      <w:pPr>
        <w:pStyle w:val="Heading4"/>
      </w:pPr>
      <w:r>
        <w:t xml:space="preserve">Transport &amp; Distribution (Scope 3 - Upstream &amp; Downstream)</w:t>
      </w:r>
    </w:p>
    <w:p>
      <w:pPr>
        <w:pStyle w:val="FirstParagraph"/>
      </w:pPr>
      <w:r>
        <w:rPr>
          <w:bCs/>
          <w:b/>
        </w:rPr>
        <w:t xml:space="preserve">Upstream Transportation:</w:t>
      </w:r>
      <w:r>
        <w:t xml:space="preserve"> </w:t>
      </w:r>
      <w:r>
        <w:t xml:space="preserve">(Materials to Factory)</w:t>
      </w:r>
    </w:p>
    <w:p>
      <w:pPr>
        <w:pStyle w:val="BodyText"/>
      </w:pPr>
      <w:r>
        <w:t xml:space="preserve">Transport Mode: Select Mode</w:t>
      </w:r>
    </w:p>
    <w:p>
      <w:pPr>
        <w:pStyle w:val="BodyText"/>
      </w:pPr>
      <w:r>
        <w:t xml:space="preserve">Transport Distance: xylezhypur km</w:t>
      </w:r>
    </w:p>
    <w:p>
      <w:pPr>
        <w:pStyle w:val="BodyText"/>
      </w:pPr>
      <w:r>
        <w:t xml:space="preserve">Assume a total inbound material weight (from BOM) of 0.85 kg for the example BOM (0.5+0.2+0.1+1.0*assume avg component weight + 0.05). Let\'s take the sum of Qty from the BOM for simplification, 0.5 + 0.2 + 0.1 + 1.0 (for circuit board, assuming 1 unit of circuit board is 0.1 kg, so total 0.1 kg) + 0.05 = 0.95 kg. We\'ll use this for upstream transport calculation. For the purpose of calculation, assuming Select Mode refers to a generic freight truck and Delivery Type refers to last-mile van delivery.</w:t>
      </w:r>
    </w:p>
    <w:p>
      <w:pPr>
        <w:pStyle w:val="BodyText"/>
      </w:pPr>
      <w:r>
        <w:t xml:space="preserve">Generic Truck EF (Europe Focused supply chain): 0.1 kgCO2e/tonne-km (industry average for road freight).</w:t>
      </w:r>
    </w:p>
    <w:p>
      <w:pPr>
        <w:pStyle w:val="BodyText"/>
      </w:pPr>
      <w:r>
        <w:t xml:space="preserve">Upstream Emissions = (Total Inbound Material Weight in tonnes) * (Transport Distance in km) * (Generic Truck EF)</w:t>
      </w:r>
    </w:p>
    <w:p>
      <w:pPr>
        <w:pStyle w:val="BodyText"/>
      </w:pPr>
      <w:r>
        <w:rPr>
          <w:bCs/>
          <w:b/>
        </w:rPr>
        <w:t xml:space="preserve">Calculation Example:</w:t>
      </w:r>
      <w:r>
        <w:t xml:space="preserve"> </w:t>
      </w:r>
      <w:r>
        <w:t xml:space="preserve">If xylezhypur = 1000 km, and total material weight is 0.95 kg (0.00095 tonnes):</w:t>
      </w:r>
    </w:p>
    <w:p>
      <w:pPr>
        <w:pStyle w:val="BodyText"/>
      </w:pPr>
      <w:r>
        <w:t xml:space="preserve">Upstream Emissions = 0.00095 tonnes * 1000 km * 0.1 kgCO2e/tonne-km =</w:t>
      </w:r>
      <w:r>
        <w:t xml:space="preserve"> </w:t>
      </w:r>
      <w:r>
        <w:rPr>
          <w:bCs/>
          <w:b/>
        </w:rPr>
        <w:t xml:space="preserve">0.095 kgCO2e</w:t>
      </w:r>
    </w:p>
    <w:p>
      <w:pPr>
        <w:pStyle w:val="BodyText"/>
      </w:pPr>
      <w:r>
        <w:rPr>
          <w:bCs/>
          <w:b/>
        </w:rPr>
        <w:t xml:space="preserve">Downstream Transportation:</w:t>
      </w:r>
      <w:r>
        <w:t xml:space="preserve"> </w:t>
      </w:r>
      <w:r>
        <w:t xml:space="preserve">(Factory to Customer, including Last-Mile)</w:t>
      </w:r>
    </w:p>
    <w:p>
      <w:pPr>
        <w:pStyle w:val="BodyText"/>
      </w:pPr>
      <w:r>
        <w:t xml:space="preserve">Transport Mode: Select Mode (assumed as primary distribution to regional hub)</w:t>
      </w:r>
    </w:p>
    <w:p>
      <w:pPr>
        <w:pStyle w:val="BodyText"/>
      </w:pPr>
      <w:r>
        <w:t xml:space="preserve">Transport Distance: xylezhypur km (assumed for main distribution leg)</w:t>
      </w:r>
    </w:p>
    <w:p>
      <w:pPr>
        <w:pStyle w:val="BodyText"/>
      </w:pPr>
      <w:r>
        <w:t xml:space="preserve">Last-Mile Delivery Channel: Delivery Type (assumed as local van delivery)</w:t>
      </w:r>
    </w:p>
    <w:p>
      <w:pPr>
        <w:pStyle w:val="BodyText"/>
      </w:pPr>
      <w:r>
        <w:t xml:space="preserve">Assume product weight for shipping = 1.0 kg (0.001 tonnes)</w:t>
      </w:r>
    </w:p>
    <w:p>
      <w:pPr>
        <w:pStyle w:val="BodyText"/>
      </w:pPr>
      <w:r>
        <w:t xml:space="preserve">Generic Truck EF (Europe Focused distribution): 0.1 kgCO2e/tonne-km</w:t>
      </w:r>
    </w:p>
    <w:p>
      <w:pPr>
        <w:pStyle w:val="BodyText"/>
      </w:pPr>
      <w:r>
        <w:t xml:space="preserve">Generic Last-Mile Van EF: 0.2 kgCO2e/tonne-km (higher intensity)</w:t>
      </w:r>
    </w:p>
    <w:p>
      <w:pPr>
        <w:pStyle w:val="BodyText"/>
      </w:pPr>
      <w:r>
        <w:t xml:space="preserve">Assuming xylezhypur km for main distribution, and an additional 100 km for last-mile delivery (as an assumption since Delivery Type distance isn\'t separate).</w:t>
      </w:r>
    </w:p>
    <w:p>
      <w:pPr>
        <w:pStyle w:val="BodyText"/>
      </w:pPr>
      <w:r>
        <w:t xml:space="preserve">Main Distribution Emissions = 0.001 tonnes * xylezhypur km * 0.1 kgCO2e/tonne-km</w:t>
      </w:r>
    </w:p>
    <w:p>
      <w:pPr>
        <w:pStyle w:val="BodyText"/>
      </w:pPr>
      <w:r>
        <w:t xml:space="preserve">Last-Mile Emissions = 0.001 tonnes * 100 km * 0.2 kgCO2e/tonne-km = 0.02 kgCO2e</w:t>
      </w:r>
    </w:p>
    <w:p>
      <w:pPr>
        <w:pStyle w:val="BodyText"/>
      </w:pPr>
      <w:r>
        <w:rPr>
          <w:bCs/>
          <w:b/>
        </w:rPr>
        <w:t xml:space="preserve">Calculation Example:</w:t>
      </w:r>
      <w:r>
        <w:t xml:space="preserve"> </w:t>
      </w:r>
      <w:r>
        <w:t xml:space="preserve">If xylezhypur = 5000 km (China to Europe):</w:t>
      </w:r>
    </w:p>
    <w:p>
      <w:pPr>
        <w:pStyle w:val="BodyText"/>
      </w:pPr>
      <w:r>
        <w:t xml:space="preserve">Main Distribution Emissions = 0.001 tonnes * 5000 km * 0.1 kgCO2e/tonne-km = 0.5 kgCO2e</w:t>
      </w:r>
    </w:p>
    <w:p>
      <w:pPr>
        <w:pStyle w:val="BodyText"/>
      </w:pPr>
      <w:r>
        <w:t xml:space="preserve">Total Downstream Emissions (example) = 0.5 kgCO2e + 0.02 kgCO2e =</w:t>
      </w:r>
      <w:r>
        <w:t xml:space="preserve"> </w:t>
      </w:r>
      <w:r>
        <w:rPr>
          <w:bCs/>
          <w:b/>
        </w:rPr>
        <w:t xml:space="preserve">0.52 kgCO2e</w:t>
      </w:r>
    </w:p>
    <w:bookmarkEnd w:id="37"/>
    <w:bookmarkStart w:id="38" w:name="use-phase-scope-3-use-of-sold-products"/>
    <w:p>
      <w:pPr>
        <w:pStyle w:val="Heading4"/>
      </w:pPr>
      <w:r>
        <w:t xml:space="preserve">Use Phase (Scope 3 – Use of Sold Products)</w:t>
      </w:r>
    </w:p>
    <w:p>
      <w:pPr>
        <w:pStyle w:val="FirstParagraph"/>
      </w:pPr>
      <w:r>
        <w:t xml:space="preserve">Product Lifespan: hwmzxtwrmn years</w:t>
      </w:r>
    </w:p>
    <w:p>
      <w:pPr>
        <w:pStyle w:val="BodyText"/>
      </w:pPr>
      <w:r>
        <w:t xml:space="preserve">Energy Consumption in Use: mhivfludjj kWh/year</w:t>
      </w:r>
    </w:p>
    <w:p>
      <w:pPr>
        <w:pStyle w:val="BodyText"/>
      </w:pPr>
      <w:r>
        <w:t xml:space="preserve">Total Use Phase Energy = mhivfludjj kWh/year * hwmzxtwrmn years</w:t>
      </w:r>
    </w:p>
    <w:p>
      <w:pPr>
        <w:pStyle w:val="BodyText"/>
      </w:pPr>
      <w:r>
        <w:t xml:space="preserve">Emissions = Total Use Phase Energy * Average European Grid EF</w:t>
      </w:r>
    </w:p>
    <w:p>
      <w:pPr>
        <w:pStyle w:val="BodyText"/>
      </w:pPr>
      <w:r>
        <w:rPr>
          <w:bCs/>
          <w:b/>
        </w:rPr>
        <w:t xml:space="preserve">Calculation Example:</w:t>
      </w:r>
      <w:r>
        <w:t xml:space="preserve"> </w:t>
      </w:r>
      <w:r>
        <w:t xml:space="preserve">If hwmzxtwrmn = 5 years and mhivfludjj = 20 kWh/year:</w:t>
      </w:r>
    </w:p>
    <w:p>
      <w:pPr>
        <w:pStyle w:val="BodyText"/>
      </w:pPr>
      <w:r>
        <w:t xml:space="preserve">Total Use Phase Energy = 20 kWh/year * 5 years = 100 kWh</w:t>
      </w:r>
    </w:p>
    <w:p>
      <w:pPr>
        <w:pStyle w:val="BodyText"/>
      </w:pPr>
      <w:r>
        <w:t xml:space="preserve">Emissions = 100 kWh * 0.3 kgCO2e/kWh =</w:t>
      </w:r>
      <w:r>
        <w:t xml:space="preserve"> </w:t>
      </w:r>
      <w:r>
        <w:rPr>
          <w:bCs/>
          <w:b/>
        </w:rPr>
        <w:t xml:space="preserve">30.0 kgCO2e</w:t>
      </w:r>
    </w:p>
    <w:bookmarkEnd w:id="38"/>
    <w:bookmarkStart w:id="39" w:name="X5b50653b90972997d2b166abf5fac47e7003def"/>
    <w:p>
      <w:pPr>
        <w:pStyle w:val="Heading4"/>
      </w:pPr>
      <w:r>
        <w:t xml:space="preserve">End-of-Life (EoL) (Scope 3 – End-of-Life Treatment of Sold Products)</w:t>
      </w:r>
    </w:p>
    <w:p>
      <w:pPr>
        <w:pStyle w:val="FirstParagraph"/>
      </w:pPr>
      <w:r>
        <w:t xml:space="preserve">Recyclability Percentage: ruvnfpmdvy%</w:t>
      </w:r>
    </w:p>
    <w:p>
      <w:pPr>
        <w:pStyle w:val="BodyText"/>
      </w:pPr>
      <w:r>
        <w:t xml:space="preserve">Circular/Take-back Programs: mphsrwzulv</w:t>
      </w:r>
    </w:p>
    <w:p>
      <w:pPr>
        <w:pStyle w:val="BodyText"/>
      </w:pPr>
      <w:r>
        <w:t xml:space="preserve">Assume product weight at EoL = 1.0 kg (for fomtjgttuu)</w:t>
      </w:r>
    </w:p>
    <w:p>
      <w:pPr>
        <w:pStyle w:val="BodyText"/>
      </w:pPr>
      <w:r>
        <w:t xml:space="preserve">Recycled Portion = 1.0 kg * ruvnfpmdvy/100</w:t>
      </w:r>
    </w:p>
    <w:p>
      <w:pPr>
        <w:pStyle w:val="BodyText"/>
      </w:pPr>
      <w:r>
        <w:t xml:space="preserve">Disposed Portion (landfill/incineration) = 1.0 kg * (1 - ruvnfpmdvy/100)</w:t>
      </w:r>
    </w:p>
    <w:p>
      <w:pPr>
        <w:pStyle w:val="BodyText"/>
      </w:pPr>
      <w:r>
        <w:rPr>
          <w:bCs/>
          <w:b/>
        </w:rPr>
        <w:t xml:space="preserve">Calculation Example:</w:t>
      </w:r>
      <w:r>
        <w:t xml:space="preserve"> </w:t>
      </w:r>
      <w:r>
        <w:t xml:space="preserve">If ruvnfpmdvy = 70%:</w:t>
      </w:r>
    </w:p>
    <w:p>
      <w:pPr>
        <w:pStyle w:val="BodyText"/>
      </w:pPr>
      <w:r>
        <w:t xml:space="preserve">Recycled Portion = 1.0 kg * 0.70 = 0.7 kg</w:t>
      </w:r>
    </w:p>
    <w:p>
      <w:pPr>
        <w:pStyle w:val="BodyText"/>
      </w:pPr>
      <w:r>
        <w:t xml:space="preserve">Disposed Portion = 1.0 kg * 0.30 = 0.3 kg</w:t>
      </w:r>
    </w:p>
    <w:p>
      <w:pPr>
        <w:pStyle w:val="BodyText"/>
      </w:pPr>
      <w:r>
        <w:t xml:space="preserve">Emissions from Recycling = 0.7 kg * (-0.2 kgCO2e/kg) = -0.14 kgCO2e (credit for avoided virgin material)</w:t>
      </w:r>
    </w:p>
    <w:p>
      <w:pPr>
        <w:pStyle w:val="BodyText"/>
      </w:pPr>
      <w:r>
        <w:t xml:space="preserve">Emissions from Disposal (assuming 50% landfill, 50% incineration of disposed portion):</w:t>
      </w:r>
    </w:p>
    <w:p>
      <w:pPr>
        <w:numPr>
          <w:ilvl w:val="0"/>
          <w:numId w:val="1008"/>
        </w:numPr>
        <w:pStyle w:val="Compact"/>
      </w:pPr>
      <w:r>
        <w:t xml:space="preserve">Landfill: 0.15 kg * 0.5 kgCO2e/kg = 0.075 kgCO2e</w:t>
      </w:r>
    </w:p>
    <w:p>
      <w:pPr>
        <w:numPr>
          <w:ilvl w:val="0"/>
          <w:numId w:val="1008"/>
        </w:numPr>
        <w:pStyle w:val="Compact"/>
      </w:pPr>
      <w:r>
        <w:t xml:space="preserve">Incineration: 0.15 kg * 0.8 kgCO2e/kg = 0.12 kgCO2e</w:t>
      </w:r>
    </w:p>
    <w:p>
      <w:pPr>
        <w:pStyle w:val="FirstParagraph"/>
      </w:pPr>
      <w:r>
        <w:t xml:space="preserve">Total EoL Emissions (example) = -0.14 + 0.075 + 0.12 =</w:t>
      </w:r>
      <w:r>
        <w:t xml:space="preserve"> </w:t>
      </w:r>
      <w:r>
        <w:rPr>
          <w:bCs/>
          <w:b/>
        </w:rPr>
        <w:t xml:space="preserve">0.055 kgCO2e</w:t>
      </w:r>
    </w:p>
    <w:p>
      <w:pPr>
        <w:pStyle w:val="BodyText"/>
      </w:pPr>
      <w:r>
        <w:t xml:space="preserve">The presence of circular/take-back programs (mphsrwzulv) further enhances the effective recyclability and reuse, potentially leading to greater emissions reductions or avoided emissions, though not explicitly quantified without specific program data.</w:t>
      </w:r>
    </w:p>
    <w:bookmarkEnd w:id="39"/>
    <w:bookmarkStart w:id="40" w:name="X38f23243d1cd19fc5f2bc13b77d189bb70c3e76"/>
    <w:p>
      <w:pPr>
        <w:pStyle w:val="Heading4"/>
      </w:pPr>
      <w:r>
        <w:t xml:space="preserve">Summary of Estimated Product Carbon Footprint for fomtjgttuu</w:t>
      </w:r>
    </w:p>
    <w:p>
      <w:pPr>
        <w:pStyle w:val="FirstParagraph"/>
      </w:pPr>
      <w:r>
        <w:t xml:space="preserve">Based on the parameters provided and industry-average emission factors for general calculations, the estimated PCF for 1.0 unit of fomtjgttuu is summarized below. Values for \'kxnsqlnzfq\', \'xizgzvzzrh\', \'xylezhypur\', \'hwmzxtwrmn\', \'mhivfludjj\', \'ruvnfpmdvy\' are used directly in the calculations as placeholder values where a numerical example is not explicitly shown in the report, with the example calculation values provided for illustrative purposes.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w:t>
            </w:r>
          </w:p>
        </w:tc>
        <w:tc>
          <w:tcPr/>
          <w:p>
            <w:pPr>
              <w:pStyle w:val="Compact"/>
              <w:jc w:val="left"/>
            </w:pPr>
            <w:r>
              <w:t xml:space="preserve">Comment</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4.775</w:t>
            </w:r>
          </w:p>
        </w:tc>
        <w:tc>
          <w:tcPr/>
          <w:p>
            <w:pPr>
              <w:pStyle w:val="Compact"/>
              <w:jc w:val="left"/>
            </w:pPr>
            <w:r>
              <w:t xml:space="preserve">Direct sum from BOM "Total Carbon" (example BOM)</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w:t>
            </w:r>
          </w:p>
        </w:tc>
        <w:tc>
          <w:tcPr/>
          <w:p>
            <w:pPr>
              <w:pStyle w:val="Compact"/>
              <w:jc w:val="left"/>
            </w:pPr>
            <w:r>
              <w:t xml:space="preserve">Assumed negligible for product unit</w:t>
            </w:r>
          </w:p>
        </w:tc>
      </w:tr>
      <w:tr>
        <w:tc>
          <w:tcPr/>
          <w:p>
            <w:pPr>
              <w:pStyle w:val="Compact"/>
              <w:jc w:val="left"/>
            </w:pPr>
            <w:r>
              <w:t xml:space="preserve">Manufacturing (Scope 2 - Purchased Electricity)</w:t>
            </w:r>
          </w:p>
        </w:tc>
        <w:tc>
          <w:tcPr/>
          <w:p>
            <w:pPr>
              <w:pStyle w:val="Compact"/>
              <w:jc w:val="left"/>
            </w:pPr>
            <w:r>
              <w:t xml:space="preserve">Scope 2</w:t>
            </w:r>
          </w:p>
        </w:tc>
        <w:tc>
          <w:tcPr/>
          <w:p>
            <w:pPr>
              <w:pStyle w:val="Compact"/>
              <w:jc w:val="left"/>
            </w:pPr>
            <w:r>
              <w:t xml:space="preserve">3.0</w:t>
            </w:r>
          </w:p>
        </w:tc>
        <w:tc>
          <w:tcPr/>
          <w:p>
            <w:pPr>
              <w:pStyle w:val="Compact"/>
              <w:jc w:val="left"/>
            </w:pPr>
            <w:r>
              <w:t xml:space="preserve">Based on kxnsqlnzfq, xizgzvzzrh, and China Grid EF (example values)</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0.095</w:t>
            </w:r>
          </w:p>
        </w:tc>
        <w:tc>
          <w:tcPr/>
          <w:p>
            <w:pPr>
              <w:pStyle w:val="Compact"/>
              <w:jc w:val="left"/>
            </w:pPr>
            <w:r>
              <w:t xml:space="preserve">Based on assumed material weight, xylezhypur, and Select Mode EF (example values)</w:t>
            </w:r>
          </w:p>
        </w:tc>
      </w:tr>
      <w:tr>
        <w:tc>
          <w:tcPr/>
          <w:p>
            <w:pPr>
              <w:pStyle w:val="Compact"/>
              <w:jc w:val="left"/>
            </w:pPr>
            <w:r>
              <w:t xml:space="preserve">Downstream Transportation &amp; Last-Mile</w:t>
            </w:r>
          </w:p>
        </w:tc>
        <w:tc>
          <w:tcPr/>
          <w:p>
            <w:pPr>
              <w:pStyle w:val="Compact"/>
              <w:jc w:val="left"/>
            </w:pPr>
            <w:r>
              <w:t xml:space="preserve">Scope 3 (Category 9)</w:t>
            </w:r>
          </w:p>
        </w:tc>
        <w:tc>
          <w:tcPr/>
          <w:p>
            <w:pPr>
              <w:pStyle w:val="Compact"/>
              <w:jc w:val="left"/>
            </w:pPr>
            <w:r>
              <w:t xml:space="preserve">0.52</w:t>
            </w:r>
          </w:p>
        </w:tc>
        <w:tc>
          <w:tcPr/>
          <w:p>
            <w:pPr>
              <w:pStyle w:val="Compact"/>
              <w:jc w:val="left"/>
            </w:pPr>
            <w:r>
              <w:t xml:space="preserve">Based on product weight, xylezhypur, Select Mode, and Delivery Type EF (example values)</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w:t>
            </w:r>
          </w:p>
        </w:tc>
        <w:tc>
          <w:tcPr/>
          <w:p>
            <w:pPr>
              <w:pStyle w:val="Compact"/>
              <w:jc w:val="left"/>
            </w:pPr>
            <w:r>
              <w:t xml:space="preserve">Based on hwmzxtwrmn, mhivfludjj, and Europe Grid EF (example values)</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0.055</w:t>
            </w:r>
          </w:p>
        </w:tc>
        <w:tc>
          <w:tcPr/>
          <w:p>
            <w:pPr>
              <w:pStyle w:val="Compact"/>
              <w:jc w:val="left"/>
            </w:pPr>
            <w:r>
              <w:t xml:space="preserve">Based on product weight, ruvnfpmdvy, and EoL EFs (example values)</w:t>
            </w:r>
          </w:p>
        </w:tc>
      </w:tr>
      <w:tr>
        <w:tc>
          <w:tcPr>
            <w:gridSpan w:val="2"/>
          </w:tcPr>
          <w:p>
            <w:pPr>
              <w:pStyle w:val="Compact"/>
              <w:jc w:val="left"/>
            </w:pPr>
            <w:r>
              <w:t xml:space="preserve">TOTAL PRODUCT CARBON FOOTPRINT</w:t>
            </w:r>
          </w:p>
        </w:tc>
        <w:tc>
          <w:tcPr/>
          <w:p>
            <w:pPr>
              <w:pStyle w:val="Compact"/>
              <w:jc w:val="left"/>
            </w:pPr>
            <w:r>
              <w:t xml:space="preserve">38.445</w:t>
            </w:r>
          </w:p>
        </w:tc>
        <w:tc>
          <w:tcPr/>
          <w:p>
            <w:pPr>
              <w:pStyle w:val="Compact"/>
              <w:jc w:val="left"/>
            </w:pPr>
            <w:r>
              <w:t xml:space="preserve">kgCO2e per 1.0 unit of fomtjgttuu (Example Sum)</w:t>
            </w:r>
          </w:p>
        </w:tc>
      </w:tr>
    </w:tbl>
    <w:p>
      <w:r>
        <w:pict>
          <v:rect style="width:0;height:1.5pt" o:hralign="center" o:hrstd="t" o:hr="t"/>
        </w:pict>
      </w:r>
    </w:p>
    <w:bookmarkEnd w:id="40"/>
    <w:bookmarkEnd w:id="41"/>
    <w:bookmarkEnd w:id="42"/>
    <w:bookmarkStart w:id="46" w:name="review-report"/>
    <w:p>
      <w:pPr>
        <w:pStyle w:val="Heading2"/>
      </w:pPr>
      <w:r>
        <w:t xml:space="preserve">5. Review &amp; Report</w:t>
      </w:r>
    </w:p>
    <w:bookmarkStart w:id="43" w:name="hotspots-identification"/>
    <w:p>
      <w:pPr>
        <w:pStyle w:val="Heading3"/>
      </w:pPr>
      <w:r>
        <w:t xml:space="preserve">Hotspots Identification</w:t>
      </w:r>
    </w:p>
    <w:p>
      <w:pPr>
        <w:pStyle w:val="FirstParagraph"/>
      </w:pPr>
      <w:r>
        <w:t xml:space="preserve">Based on the example calculations, the primary emissions hotspots for fomtjgttuu are:</w:t>
      </w:r>
    </w:p>
    <w:p>
      <w:pPr>
        <w:numPr>
          <w:ilvl w:val="0"/>
          <w:numId w:val="1009"/>
        </w:numPr>
        <w:pStyle w:val="Compact"/>
      </w:pPr>
      <w:r>
        <w:rPr>
          <w:bCs/>
          <w:b/>
        </w:rPr>
        <w:t xml:space="preserve">Use Phase:</w:t>
      </w:r>
      <w:r>
        <w:t xml:space="preserve"> </w:t>
      </w:r>
      <w:r>
        <w:t xml:space="preserve">With an estimated 30.0 kgCO2e (example value), the energy consumption during the product\'s lifespan is the most significant contributor. This highlights opportunities for energy efficiency improvements in product design or promoting renewable energy adoption by end-users.</w:t>
      </w:r>
    </w:p>
    <w:p>
      <w:pPr>
        <w:numPr>
          <w:ilvl w:val="0"/>
          <w:numId w:val="1009"/>
        </w:numPr>
        <w:pStyle w:val="Compact"/>
      </w:pPr>
      <w:r>
        <w:rPr>
          <w:bCs/>
          <w:b/>
        </w:rPr>
        <w:t xml:space="preserve">Materials Acquisition &amp; Processing:</w:t>
      </w:r>
      <w:r>
        <w:t xml:space="preserve"> </w:t>
      </w:r>
      <w:r>
        <w:t xml:space="preserve">The raw materials contribute 4.775 kgCO2e (example value), indicating that material selection and supply chain decarbonization are crucial. Focusing on low-carbon materials or increasing recycled content could yield substantial reductions.</w:t>
      </w:r>
    </w:p>
    <w:p>
      <w:pPr>
        <w:numPr>
          <w:ilvl w:val="0"/>
          <w:numId w:val="1009"/>
        </w:numPr>
        <w:pStyle w:val="Compact"/>
      </w:pPr>
      <w:r>
        <w:rPr>
          <w:bCs/>
          <w:b/>
        </w:rPr>
        <w:t xml:space="preserve">Manufacturing (Purchased Electricity):</w:t>
      </w:r>
      <w:r>
        <w:t xml:space="preserve"> </w:t>
      </w:r>
      <w:r>
        <w:t xml:space="preserve">At 3.0 kgCO2e (example value), the emissions from purchased electricity are also noteworthy, emphasizing the importance of sourcing renewable energy for production.</w:t>
      </w:r>
    </w:p>
    <w:bookmarkEnd w:id="43"/>
    <w:bookmarkStart w:id="44" w:name="data-reliability-and-limitations"/>
    <w:p>
      <w:pPr>
        <w:pStyle w:val="Heading3"/>
      </w:pPr>
      <w:r>
        <w:t xml:space="preserve">Data Reliability and Limitations</w:t>
      </w:r>
    </w:p>
    <w:p>
      <w:pPr>
        <w:pStyle w:val="FirstParagraph"/>
      </w:pPr>
      <w:r>
        <w:t xml:space="preserve">The accuracy of this PCF analysis relies heavily on the quality and specificity of the input data. While primary data (BOM \'Total Carbon\') was used where available, several parameters were placeholders (`Select Mode`, `xylezhypur`, `Delivery Type`, `xizgzvzzrh`, `kxnsqlnzfq`, `hwmzxtwrmn`, `mhivfludjj`, `ruvnfpmdvy`, `mphsrwzulv`). For these, and for generic processes, industry-average emission factors were applied. The primary source for these factors is noted as industry averages (e.g., from databases like Ecoinvent/DEFRA equivalents, IEA, or EPA, though specific database lookups were not performed by the model for each element, and general averages are assumed for illustrative calculations).</w:t>
      </w:r>
    </w:p>
    <w:p>
      <w:pPr>
        <w:pStyle w:val="BodyText"/>
      </w:pPr>
      <w:r>
        <w:t xml:space="preserve">To enhance reliability, future analyses should focus on:</w:t>
      </w:r>
    </w:p>
    <w:p>
      <w:pPr>
        <w:numPr>
          <w:ilvl w:val="0"/>
          <w:numId w:val="1010"/>
        </w:numPr>
        <w:pStyle w:val="Compact"/>
      </w:pPr>
      <w:r>
        <w:t xml:space="preserve">Collecting more granular, supplier-specific primary data for all Scope 3 categories.</w:t>
      </w:r>
    </w:p>
    <w:p>
      <w:pPr>
        <w:numPr>
          <w:ilvl w:val="0"/>
          <w:numId w:val="1010"/>
        </w:numPr>
        <w:pStyle w:val="Compact"/>
      </w:pPr>
      <w:r>
        <w:t xml:space="preserve">Obtaining exact specifications for transport modes, distances, and last-mile delivery.</w:t>
      </w:r>
    </w:p>
    <w:p>
      <w:pPr>
        <w:numPr>
          <w:ilvl w:val="0"/>
          <w:numId w:val="1010"/>
        </w:numPr>
        <w:pStyle w:val="Compact"/>
      </w:pPr>
      <w:r>
        <w:t xml:space="preserve">Validating use-phase energy consumption through real-world testing or detailed user profiles.</w:t>
      </w:r>
    </w:p>
    <w:p>
      <w:pPr>
        <w:numPr>
          <w:ilvl w:val="0"/>
          <w:numId w:val="1010"/>
        </w:numPr>
        <w:pStyle w:val="Compact"/>
      </w:pPr>
      <w:r>
        <w:t xml:space="preserve">Detailed assessment of actual End-of-Life pathways and associated emission factors, including the precise impact of circular programs.</w:t>
      </w:r>
    </w:p>
    <w:bookmarkEnd w:id="44"/>
    <w:bookmarkStart w:id="45" w:name="recommendations-for-reduction"/>
    <w:p>
      <w:pPr>
        <w:pStyle w:val="Heading3"/>
      </w:pPr>
      <w:r>
        <w:t xml:space="preserve">Recommendations for Reduction</w:t>
      </w:r>
    </w:p>
    <w:p>
      <w:pPr>
        <w:numPr>
          <w:ilvl w:val="0"/>
          <w:numId w:val="1011"/>
        </w:numPr>
        <w:pStyle w:val="Compact"/>
      </w:pPr>
      <w:r>
        <w:rPr>
          <w:bCs/>
          <w:b/>
        </w:rPr>
        <w:t xml:space="preserve">Optimize Use Phase:</w:t>
      </w:r>
      <w:r>
        <w:t xml:space="preserve"> </w:t>
      </w:r>
      <w:r>
        <w:t xml:space="preserve">Invest in product design for enhanced energy efficiency during the hwmzxtwrmn-year lifespan. Educate consumers on efficient use and the benefits of renewable energy sources.</w:t>
      </w:r>
    </w:p>
    <w:p>
      <w:pPr>
        <w:numPr>
          <w:ilvl w:val="0"/>
          <w:numId w:val="1011"/>
        </w:numPr>
        <w:pStyle w:val="Compact"/>
      </w:pPr>
      <w:r>
        <w:rPr>
          <w:bCs/>
          <w:b/>
        </w:rPr>
        <w:t xml:space="preserve">Sustainable Material Sourcing:</w:t>
      </w:r>
      <w:r>
        <w:t xml:space="preserve"> </w:t>
      </w:r>
      <w:r>
        <w:t xml:space="preserve">Investigate opportunities to substitute high-impact materials with lower-carbon alternatives or increase the content of recycled materials, especially for components identified as hotspots in the BOM.</w:t>
      </w:r>
    </w:p>
    <w:p>
      <w:pPr>
        <w:numPr>
          <w:ilvl w:val="0"/>
          <w:numId w:val="1011"/>
        </w:numPr>
        <w:pStyle w:val="Compact"/>
      </w:pPr>
      <w:r>
        <w:rPr>
          <w:bCs/>
          <w:b/>
        </w:rPr>
        <w:t xml:space="preserve">Renewable Energy Procurement:</w:t>
      </w:r>
      <w:r>
        <w:t xml:space="preserve"> </w:t>
      </w:r>
      <w:r>
        <w:t xml:space="preserve">Increase the percentage of renewable energy usage (xizgzvzzrh) at manufacturing facilities in China and explore options for green electricity tariffs or on-site renewable generation.</w:t>
      </w:r>
    </w:p>
    <w:p>
      <w:pPr>
        <w:numPr>
          <w:ilvl w:val="0"/>
          <w:numId w:val="1011"/>
        </w:numPr>
        <w:pStyle w:val="Compact"/>
      </w:pPr>
      <w:r>
        <w:rPr>
          <w:bCs/>
          <w:b/>
        </w:rPr>
        <w:t xml:space="preserve">Logistics Optimization:</w:t>
      </w:r>
      <w:r>
        <w:t xml:space="preserve"> </w:t>
      </w:r>
      <w:r>
        <w:t xml:space="preserve">Evaluate more efficient transport modes (e.g., rail or sea over air where feasible for \'Select Mode\') and optimize routes and load factors to reduce emissions across the xylezhypur km distance. Consider localizing supply chains where economically and environmentally viable.</w:t>
      </w:r>
    </w:p>
    <w:p>
      <w:pPr>
        <w:numPr>
          <w:ilvl w:val="0"/>
          <w:numId w:val="1011"/>
        </w:numPr>
        <w:pStyle w:val="Compact"/>
      </w:pPr>
      <w:r>
        <w:rPr>
          <w:bCs/>
          <w:b/>
        </w:rPr>
        <w:t xml:space="preserve">Circular Economy Integration:</w:t>
      </w:r>
      <w:r>
        <w:t xml:space="preserve"> </w:t>
      </w:r>
      <w:r>
        <w:t xml:space="preserve">Further develop and promote circular/take-back programs (mphsrwzulv) to maximize product recyclability (ruvnfpmdvy) and enable material recovery, minimizing waste and extending product utility.</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fomtjgttuu</dc:title>
  <dc:creator/>
  <dc:description>Detailed Product Carbon Footprint (PCF) analysis report for fomtjgttuu, conducted by juhmngpphn for wuvkxeoxyh, adhering to GHG Protocol standards and 2026 updates.</dc:description>
  <dc:language>en</dc:language>
  <cp:keywords/>
  <dcterms:created xsi:type="dcterms:W3CDTF">2026-07-15T17:56:15Z</dcterms:created>
  <dcterms:modified xsi:type="dcterms:W3CDTF">2026-07-15T17:56:15Z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