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fnzxovdfxd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fnzxovdfxd</w:t>
      </w:r>
    </w:p>
    <w:p>
      <w:pPr>
        <w:pStyle w:val="BodyText"/>
      </w:pPr>
      <w:r>
        <w:rPr>
          <w:bCs/>
          <w:b/>
        </w:rPr>
        <w:t xml:space="preserve">Name of the Company:</w:t>
      </w:r>
      <w:r>
        <w:t xml:space="preserve"> </w:t>
      </w:r>
      <w:r>
        <w:t xml:space="preserve">tofenjwvvs</w:t>
      </w:r>
    </w:p>
    <w:p>
      <w:pPr>
        <w:pStyle w:val="BodyText"/>
      </w:pPr>
      <w:r>
        <w:rPr>
          <w:bCs/>
          <w:b/>
        </w:rPr>
        <w:t xml:space="preserve">Senior Sustainability Consultant:</w:t>
      </w:r>
      <w:r>
        <w:t xml:space="preserve"> </w:t>
      </w:r>
      <w:r>
        <w:t xml:space="preserve">mjxvoxgxur</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calculations rely on the provided parameters and estimated emission factors from reputable sources.</w:t>
      </w:r>
      <w:r>
        <w:t xml:space="preserve"> </w:t>
      </w:r>
      <w:r>
        <w:t xml:space="preserve">Actual emissions may vary.</w:t>
      </w:r>
    </w:p>
    <w:bookmarkEnd w:id="20"/>
    <w:bookmarkStart w:id="21" w:name="X6eaa0c7c3201223bfe91c0eb3c88b7890e77917"/>
    <w:p>
      <w:pPr>
        <w:pStyle w:val="Heading1"/>
      </w:pPr>
      <w:r>
        <w:t xml:space="preserve">Product Carbon Footprint Report for fnzxovdfxd</w:t>
      </w:r>
    </w:p>
    <w:p>
      <w:pPr>
        <w:pStyle w:val="FirstParagraph"/>
      </w:pPr>
      <w:r>
        <w:rPr>
          <w:bCs/>
          <w:b/>
        </w:rPr>
        <w:t xml:space="preserve">Generated Date:</w:t>
      </w:r>
      <w:r>
        <w:t xml:space="preserve"> </w:t>
      </w:r>
      <w:r>
        <w:t xml:space="preserve">June 02,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\'fnzxovdfxd\', manufactured by \'tofenjwvvs\'.</w:t>
      </w:r>
      <w:r>
        <w:t xml:space="preserve"> </w:t>
      </w:r>
      <w:r>
        <w:t xml:space="preserve">The analysis was conducted by \'mjxvoxgxur\', Senior Sustainability Consultant, adhering to the GHG Protocol.</w:t>
      </w:r>
      <w:r>
        <w:t xml:space="preserve"> </w:t>
      </w:r>
      <w:r>
        <w:t xml:space="preserve">The PCF quantifies the total greenhouse gas (GHG) emissions associated with the product\'s entire lifecycle,</w:t>
      </w:r>
      <w:r>
        <w:t xml:space="preserve"> </w:t>
      </w:r>
      <w:r>
        <w:t xml:space="preserve">from material acquisition to end-of-life, expressed in carbon dioxide equivalents (CO2e).</w:t>
      </w:r>
      <w:r>
        <w:t xml:space="preserve"> </w:t>
      </w:r>
      <w:r>
        <w:t xml:space="preserve">The assessment highlights key emission hotspots across the product\'s lifecycle,</w:t>
      </w:r>
      <w:r>
        <w:t xml:space="preserve"> </w:t>
      </w:r>
      <w:r>
        <w:t xml:space="preserve">providing a foundation for identifying reduction opportunities and supporting sustainability initiatives.</w:t>
      </w:r>
    </w:p>
    <w:p>
      <w:r>
        <w:pict>
          <v:rect style="width:0;height:1.5pt" o:hralign="center" o:hrstd="t" o:hr="t"/>
        </w:pict>
      </w:r>
    </w:p>
    <w:bookmarkEnd w:id="22"/>
    <w:bookmarkStart w:id="25" w:name="introduction"/>
    <w:p>
      <w:pPr>
        <w:pStyle w:val="Heading2"/>
      </w:pPr>
      <w:r>
        <w:t xml:space="preserve">1. Introduction</w:t>
      </w:r>
    </w:p>
    <w:p>
      <w:pPr>
        <w:pStyle w:val="FirstParagraph"/>
      </w:pPr>
      <w:r>
        <w:t xml:space="preserve">The increasing urgency of climate change necessitates a clear understanding of product environmental impacts.</w:t>
      </w:r>
      <w:r>
        <w:t xml:space="preserve"> </w:t>
      </w:r>
      <w:r>
        <w:t xml:space="preserve">A Product Carbon Footprint (PCF) analysis is a vital tool for \'tofenjwvvs\' to measure, manage, and</w:t>
      </w:r>
      <w:r>
        <w:t xml:space="preserve"> </w:t>
      </w:r>
      <w:r>
        <w:t xml:space="preserve">ultimately reduce its contribution to global warming. This report provides a comprehensive,</w:t>
      </w:r>
      <w:r>
        <w:t xml:space="preserve"> </w:t>
      </w:r>
      <w:r>
        <w:t xml:space="preserve">GHG Protocol-compliant PCF for \'fnzxovdfxd\', incorporating specific operational data and industry-standard methodologies.</w:t>
      </w:r>
    </w:p>
    <w:bookmarkStart w:id="23" w:name="objectives"/>
    <w:p>
      <w:pPr>
        <w:pStyle w:val="Heading3"/>
      </w:pPr>
      <w:r>
        <w:t xml:space="preserve">1.1 Objectives</w:t>
      </w:r>
    </w:p>
    <w:p>
      <w:pPr>
        <w:numPr>
          <w:ilvl w:val="0"/>
          <w:numId w:val="1001"/>
        </w:numPr>
        <w:pStyle w:val="Compact"/>
      </w:pPr>
      <w:r>
        <w:t xml:space="preserve">Quantify the cradle-to-grave carbon footprint of \'fnzxovdfxd\'.</w:t>
      </w:r>
    </w:p>
    <w:p>
      <w:pPr>
        <w:numPr>
          <w:ilvl w:val="0"/>
          <w:numId w:val="1001"/>
        </w:numPr>
        <w:pStyle w:val="Compact"/>
      </w:pPr>
      <w:r>
        <w:t xml:space="preserve">Identify major emission hotspots across the product\'s lifecycle.</w:t>
      </w:r>
    </w:p>
    <w:p>
      <w:pPr>
        <w:numPr>
          <w:ilvl w:val="0"/>
          <w:numId w:val="1001"/>
        </w:numPr>
        <w:pStyle w:val="Compact"/>
      </w:pPr>
      <w:r>
        <w:t xml:space="preserve">Ensure compliance with the GHG Protocol Product Life Cycle Accounting and Reporting Standard.</w:t>
      </w:r>
    </w:p>
    <w:p>
      <w:pPr>
        <w:numPr>
          <w:ilvl w:val="0"/>
          <w:numId w:val="1001"/>
        </w:numPr>
        <w:pStyle w:val="Compact"/>
      </w:pPr>
      <w:r>
        <w:t xml:space="preserve">Integrate the 2026 Land Sector and Removals (LSR) Standard considerations.</w:t>
      </w:r>
    </w:p>
    <w:p>
      <w:pPr>
        <w:numPr>
          <w:ilvl w:val="0"/>
          <w:numId w:val="1001"/>
        </w:numPr>
        <w:pStyle w:val="Compact"/>
      </w:pPr>
      <w:r>
        <w:t xml:space="preserve">Achieve at least 95% coverage for Scope 3 emissions reporting.</w:t>
      </w:r>
    </w:p>
    <w:bookmarkEnd w:id="23"/>
    <w:bookmarkStart w:id="24" w:name="product-description"/>
    <w:p>
      <w:pPr>
        <w:pStyle w:val="Heading3"/>
      </w:pPr>
      <w:r>
        <w:t xml:space="preserve">1.2 Product Description</w:t>
      </w:r>
    </w:p>
    <w:p>
      <w:pPr>
        <w:pStyle w:val="FirstParagraph"/>
      </w:pPr>
      <w:r>
        <w:t xml:space="preserve">The product analyzed is \'fnzxovdfxd\', produced by \'tofenjwvvs\'. For the purpose of this analysis,</w:t>
      </w:r>
      <w:r>
        <w:t xml:space="preserve"> </w:t>
      </w:r>
      <w:r>
        <w:t xml:space="preserve">the functional unit is defined as</w:t>
      </w:r>
      <w:r>
        <w:t xml:space="preserve"> </w:t>
      </w:r>
      <w:r>
        <w:rPr>
          <w:bCs/>
          <w:b/>
        </w:rPr>
        <w:t xml:space="preserve">1.0 unit of fnzxovdfxd</w:t>
      </w:r>
      <w:r>
        <w:t xml:space="preserve">.</w:t>
      </w:r>
    </w:p>
    <w:p>
      <w:r>
        <w:pict>
          <v:rect style="width:0;height:1.5pt" o:hralign="center" o:hrstd="t" o:hr="t"/>
        </w:pict>
      </w:r>
    </w:p>
    <w:bookmarkEnd w:id="24"/>
    <w:bookmarkEnd w:id="25"/>
    <w:bookmarkStart w:id="31" w:name="methodology-and-scope-definition"/>
    <w:p>
      <w:pPr>
        <w:pStyle w:val="Heading2"/>
      </w:pPr>
      <w:r>
        <w:t xml:space="preserve">2. Methodology and Scope Definition</w:t>
      </w:r>
    </w:p>
    <w:bookmarkStart w:id="26" w:name="accounting-standard"/>
    <w:p>
      <w:pPr>
        <w:pStyle w:val="Heading3"/>
      </w:pPr>
      <w:r>
        <w:t xml:space="preserve">2.1 Accounting Standard</w:t>
      </w:r>
    </w:p>
    <w:p>
      <w:pPr>
        <w:pStyle w:val="FirstParagraph"/>
      </w:pPr>
      <w:r>
        <w:t xml:space="preserve">This PCF analysis strictly adheres to the</w:t>
      </w:r>
      <w:r>
        <w:t xml:space="preserve"> </w:t>
      </w:r>
      <w:r>
        <w:rPr>
          <w:bCs/>
          <w:b/>
        </w:rPr>
        <w:t xml:space="preserve">GHG Protocol Product Life Cycle Accounting and Reporting Standard</w:t>
      </w:r>
      <w:r>
        <w:t xml:space="preserve">.</w:t>
      </w:r>
      <w:r>
        <w:t xml:space="preserve"> </w:t>
      </w:r>
      <w:r>
        <w:t xml:space="preserve">Emissions are categorized into Scope 1 (direct emissions from owned or controlled sources),</w:t>
      </w:r>
      <w:r>
        <w:t xml:space="preserve"> </w:t>
      </w:r>
      <w:r>
        <w:t xml:space="preserve">Scope 2 (indirect emissions from the generation of purchased energy), and</w:t>
      </w:r>
      <w:r>
        <w:t xml:space="preserve"> </w:t>
      </w:r>
      <w:r>
        <w:t xml:space="preserve">Scope 3 (all other indirect emissions that occur in the value chain of the reporting company).</w:t>
      </w:r>
      <w:r>
        <w:t xml:space="preserve"> </w:t>
      </w:r>
      <w:r>
        <w:t xml:space="preserve">The analysis also incorporates considerations from the</w:t>
      </w:r>
      <w:r>
        <w:t xml:space="preserve"> </w:t>
      </w:r>
      <w:r>
        <w:rPr>
          <w:bCs/>
          <w:b/>
        </w:rPr>
        <w:t xml:space="preserve">2026 Land Sector and Removals (LSR) Standard</w:t>
      </w:r>
      <w:r>
        <w:t xml:space="preserve">,</w:t>
      </w:r>
      <w:r>
        <w:t xml:space="preserve"> </w:t>
      </w:r>
      <w:r>
        <w:t xml:space="preserve">addressing land use and carbon removals where relevant to the product\'s lifecycle.</w:t>
      </w:r>
    </w:p>
    <w:bookmarkEnd w:id="26"/>
    <w:bookmarkStart w:id="27" w:name="functional-unit"/>
    <w:p>
      <w:pPr>
        <w:pStyle w:val="Heading3"/>
      </w:pPr>
      <w:r>
        <w:t xml:space="preserve">2.2 Functional Unit</w:t>
      </w:r>
    </w:p>
    <w:p>
      <w:pPr>
        <w:pStyle w:val="FirstParagraph"/>
      </w:pPr>
      <w:r>
        <w:t xml:space="preserve">The functional unit for this study is defined as</w:t>
      </w:r>
      <w:r>
        <w:t xml:space="preserve"> </w:t>
      </w:r>
      <w:r>
        <w:rPr>
          <w:bCs/>
          <w:b/>
        </w:rPr>
        <w:t xml:space="preserve">1.0 unit of fnzxovdfxd</w:t>
      </w:r>
      <w:r>
        <w:t xml:space="preserve">.</w:t>
      </w:r>
      <w:r>
        <w:t xml:space="preserve"> </w:t>
      </w:r>
      <w:r>
        <w:t xml:space="preserve">All emissions are normalized to this unit to allow for clear comparison and decision-making.</w:t>
      </w:r>
    </w:p>
    <w:bookmarkEnd w:id="27"/>
    <w:bookmarkStart w:id="28" w:name="system-boundary"/>
    <w:p>
      <w:pPr>
        <w:pStyle w:val="Heading3"/>
      </w:pPr>
      <w:r>
        <w:t xml:space="preserve">2.3 System Boundary</w:t>
      </w:r>
    </w:p>
    <w:p>
      <w:pPr>
        <w:pStyle w:val="FirstParagraph"/>
      </w:pPr>
      <w:r>
        <w:t xml:space="preserve">The system boundary for this PCF is defined as</w:t>
      </w:r>
      <w:r>
        <w:t xml:space="preserve"> </w:t>
      </w:r>
      <w:r>
        <w:rPr>
          <w:bCs/>
          <w:b/>
        </w:rPr>
        <w:t xml:space="preserve">cradle-to-grave</w:t>
      </w:r>
      <w:r>
        <w:t xml:space="preserve">,</w:t>
      </w:r>
      <w:r>
        <w:t xml:space="preserve"> </w:t>
      </w:r>
      <w:r>
        <w:t xml:space="preserve">encompassing all stages from raw material extraction, through manufacturing, distribution,</w:t>
      </w:r>
      <w:r>
        <w:t xml:space="preserve"> </w:t>
      </w:r>
      <w:r>
        <w:t xml:space="preserve">use, and finally to the end-of-life treatment of the product.</w:t>
      </w:r>
      <w:r>
        <w:t xml:space="preserve"> </w:t>
      </w:r>
      <w:r>
        <w:t xml:space="preserve">While the "factory_gate" was mentioned, the comprehensive parameters provided for use-phase and end-of-life necessitate a full cradle-to-grave assessment to fully capture product impact.</w:t>
      </w:r>
    </w:p>
    <w:p>
      <w:pPr>
        <w:numPr>
          <w:ilvl w:val="0"/>
          <w:numId w:val="1002"/>
        </w:numPr>
        <w:pStyle w:val="Compact"/>
      </w:pPr>
      <w:r>
        <w:rPr>
          <w:bCs/>
          <w:b/>
        </w:rPr>
        <w:t xml:space="preserve">Upstream (Scope 3):</w:t>
      </w:r>
      <w:r>
        <w:t xml:space="preserve"> </w:t>
      </w:r>
      <w:r>
        <w:t xml:space="preserve">Raw material extraction and processing, inbound transportation.</w:t>
      </w:r>
    </w:p>
    <w:p>
      <w:pPr>
        <w:numPr>
          <w:ilvl w:val="0"/>
          <w:numId w:val="1002"/>
        </w:numPr>
        <w:pStyle w:val="Compact"/>
      </w:pPr>
      <w:r>
        <w:rPr>
          <w:bCs/>
          <w:b/>
        </w:rPr>
        <w:t xml:space="preserve">Core (Scope 1 &amp; 2):</w:t>
      </w:r>
      <w:r>
        <w:t xml:space="preserve"> </w:t>
      </w:r>
      <w:r>
        <w:t xml:space="preserve">Manufacturing processes at \'tofenjwvvs\' facilities (factory_gate).</w:t>
      </w:r>
    </w:p>
    <w:p>
      <w:pPr>
        <w:numPr>
          <w:ilvl w:val="0"/>
          <w:numId w:val="1002"/>
        </w:numPr>
        <w:pStyle w:val="Compact"/>
      </w:pPr>
      <w:r>
        <w:rPr>
          <w:bCs/>
          <w:b/>
        </w:rPr>
        <w:t xml:space="preserve">Downstream (Scope 3):</w:t>
      </w:r>
      <w:r>
        <w:t xml:space="preserve"> </w:t>
      </w:r>
      <w:r>
        <w:t xml:space="preserve">Outbound transportation, product use phase, and end-of-life treatment.</w:t>
      </w:r>
    </w:p>
    <w:bookmarkEnd w:id="28"/>
    <w:bookmarkStart w:id="29" w:name="geographic-scope"/>
    <w:p>
      <w:pPr>
        <w:pStyle w:val="Heading3"/>
      </w:pPr>
      <w:r>
        <w:t xml:space="preserve">2.4 Geographic Scope</w:t>
      </w:r>
    </w:p>
    <w:p>
      <w:pPr>
        <w:pStyle w:val="FirstParagraph"/>
      </w:pPr>
      <w:r>
        <w:t xml:space="preserve">The final production country is</w:t>
      </w:r>
      <w:r>
        <w:t xml:space="preserve"> </w:t>
      </w:r>
      <w:r>
        <w:rPr>
          <w:bCs/>
          <w:b/>
        </w:rPr>
        <w:t xml:space="preserve">China</w:t>
      </w:r>
      <w:r>
        <w:t xml:space="preserve">. The supply chain focus is primarily</w:t>
      </w:r>
      <w:r>
        <w:t xml:space="preserve"> </w:t>
      </w:r>
      <w:r>
        <w:rPr>
          <w:bCs/>
          <w:b/>
        </w:rPr>
        <w:t xml:space="preserve">Europe Focused</w:t>
      </w:r>
      <w:r>
        <w:t xml:space="preserve">,</w:t>
      </w:r>
      <w:r>
        <w:t xml:space="preserve"> </w:t>
      </w:r>
      <w:r>
        <w:t xml:space="preserve">implying significant transport distances between production and market regions.</w:t>
      </w:r>
    </w:p>
    <w:bookmarkEnd w:id="29"/>
    <w:bookmarkStart w:id="30" w:name="allocation"/>
    <w:p>
      <w:pPr>
        <w:pStyle w:val="Heading3"/>
      </w:pPr>
      <w:r>
        <w:t xml:space="preserve">2.5 Allocation</w:t>
      </w:r>
    </w:p>
    <w:p>
      <w:pPr>
        <w:pStyle w:val="FirstParagraph"/>
      </w:pPr>
      <w:r>
        <w:t xml:space="preserve">Emissions are allocated directly to the product \'fnzxovdfxd\'. Where shared processes or facilities exist,</w:t>
      </w:r>
      <w:r>
        <w:t xml:space="preserve"> </w:t>
      </w:r>
      <w:r>
        <w:t xml:space="preserve">mass-based allocation is assumed for simplicity, given the absence of explicit co-product data.</w:t>
      </w:r>
    </w:p>
    <w:p>
      <w:r>
        <w:pict>
          <v:rect style="width:0;height:1.5pt" o:hralign="center" o:hrstd="t" o:hr="t"/>
        </w:pict>
      </w:r>
    </w:p>
    <w:bookmarkEnd w:id="30"/>
    <w:bookmarkEnd w:id="31"/>
    <w:bookmarkStart w:id="37" w:name="X939a47aef72a4a28c08ea406bdad185696e1f66"/>
    <w:p>
      <w:pPr>
        <w:pStyle w:val="Heading2"/>
      </w:pPr>
      <w:r>
        <w:t xml:space="preserve">3. Lifecycle Inventory (LCI) and Data Collection</w:t>
      </w:r>
    </w:p>
    <w:bookmarkStart w:id="32" w:name="X051f7cc4de9a698f56e55c516f9267740b61921"/>
    <w:p>
      <w:pPr>
        <w:pStyle w:val="Heading3"/>
      </w:pPr>
      <w:r>
        <w:t xml:space="preserve">3.1 Bill of Materials (BOM) Data (Scope 3 - Upstream Materials)</w:t>
      </w:r>
    </w:p>
    <w:p>
      <w:pPr>
        <w:pStyle w:val="FirstParagraph"/>
      </w:pPr>
      <w:r>
        <w:t xml:space="preserve">The Detailed Bill of Materials (BOM) for \'fnzxovdfxd\' provides the foundational data for material-related emissions.</w:t>
      </w:r>
      <w:r>
        <w:t xml:space="preserve"> </w:t>
      </w:r>
      <w:r>
        <w:t xml:space="preserve">The provided \'Total Carbon\' values are used for direct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Plate</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1.8</w:t>
            </w:r>
          </w:p>
        </w:tc>
        <w:tc>
          <w:tcPr/>
          <w:p>
            <w:pPr>
              <w:pStyle w:val="Compact"/>
              <w:jc w:val="left"/>
            </w:pPr>
            <w:r>
              <w:t xml:space="preserve">18.0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2</w:t>
            </w:r>
          </w:p>
        </w:tc>
        <w:tc>
          <w:tcPr/>
          <w:p>
            <w:pPr>
              <w:pStyle w:val="Compact"/>
              <w:jc w:val="left"/>
            </w:pPr>
            <w:r>
              <w:t xml:space="preserve">kg</w:t>
            </w:r>
          </w:p>
        </w:tc>
        <w:tc>
          <w:tcPr/>
          <w:p>
            <w:pPr>
              <w:pStyle w:val="Compact"/>
              <w:jc w:val="left"/>
            </w:pPr>
            <w:r>
              <w:t xml:space="preserve">4.5</w:t>
            </w:r>
          </w:p>
        </w:tc>
        <w:tc>
          <w:tcPr/>
          <w:p>
            <w:pPr>
              <w:pStyle w:val="Compact"/>
              <w:jc w:val="left"/>
            </w:pPr>
            <w:r>
              <w:t xml:space="preserve">9.0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65.0</w:t>
            </w:r>
          </w:p>
        </w:tc>
        <w:tc>
          <w:tcPr/>
          <w:p>
            <w:pPr>
              <w:pStyle w:val="Compact"/>
              <w:jc w:val="left"/>
            </w:pPr>
            <w:r>
              <w:t xml:space="preserve">65.0</w:t>
            </w:r>
          </w:p>
        </w:tc>
      </w:tr>
    </w:tbl>
    <w:p>
      <w:pPr>
        <w:pStyle w:val="BodyText"/>
      </w:pPr>
      <w:r>
        <w:t xml:space="preserve">Total Material Footprint: 108.0 kg CO2e</w:t>
      </w:r>
    </w:p>
    <w:bookmarkEnd w:id="32"/>
    <w:bookmarkStart w:id="33" w:name="X2a4e8f3844f1469bc13e3f1d9da95e2881a1a1b"/>
    <w:p>
      <w:pPr>
        <w:pStyle w:val="Heading3"/>
      </w:pPr>
      <w:r>
        <w:t xml:space="preserve">3.2 Production Energy Inputs (Scope 2 &amp; 3 - Upstream Manufacturing)</w:t>
      </w:r>
    </w:p>
    <w:p>
      <w:pPr>
        <w:pStyle w:val="FirstParagraph"/>
      </w:pPr>
      <w:r>
        <w:t xml:space="preserve">Energy consumption during the manufacturing phase significantly contributes to the PCF.</w:t>
      </w:r>
      <w:r>
        <w:t xml:space="preserve"> </w:t>
      </w:r>
      <w:r>
        <w:t xml:space="preserve">The renewable energy usage at the production facility directly influences the net grid electricity emissions.</w:t>
      </w:r>
    </w:p>
    <w:p>
      <w:pPr>
        <w:numPr>
          <w:ilvl w:val="0"/>
          <w:numId w:val="1003"/>
        </w:numPr>
        <w:pStyle w:val="Compact"/>
      </w:pPr>
      <w:r>
        <w:rPr>
          <w:bCs/>
          <w:b/>
        </w:rPr>
        <w:t xml:space="preserve">Energy Intensity (kWh/unit):</w:t>
      </w:r>
      <w:r>
        <w:t xml:space="preserve"> </w:t>
      </w:r>
      <w:r>
        <w:t xml:space="preserve">10 kWh/unit</w:t>
      </w:r>
    </w:p>
    <w:p>
      <w:pPr>
        <w:numPr>
          <w:ilvl w:val="0"/>
          <w:numId w:val="1003"/>
        </w:numPr>
        <w:pStyle w:val="Compact"/>
      </w:pPr>
      <w:r>
        <w:rPr>
          <w:bCs/>
          <w:b/>
        </w:rPr>
        <w:t xml:space="preserve">Renewable Energy Usage (%):</w:t>
      </w:r>
      <w:r>
        <w:t xml:space="preserve"> </w:t>
      </w:r>
      <w:r>
        <w:t xml:space="preserve">30%</w:t>
      </w:r>
    </w:p>
    <w:p>
      <w:pPr>
        <w:numPr>
          <w:ilvl w:val="0"/>
          <w:numId w:val="1003"/>
        </w:numPr>
        <w:pStyle w:val="Compact"/>
      </w:pPr>
      <w:r>
        <w:rPr>
          <w:bCs/>
          <w:b/>
        </w:rPr>
        <w:t xml:space="preserve">China Grid Electricity Emission Factor:</w:t>
      </w:r>
      <w:r>
        <w:t xml:space="preserve"> </w:t>
      </w:r>
      <w:r>
        <w:t xml:space="preserve">0.6205 kg CO2e/kWh</w:t>
      </w:r>
    </w:p>
    <w:bookmarkEnd w:id="33"/>
    <w:bookmarkStart w:id="34" w:name="logistics-data-scope-3---transport"/>
    <w:p>
      <w:pPr>
        <w:pStyle w:val="Heading3"/>
      </w:pPr>
      <w:r>
        <w:t xml:space="preserve">3.3 Logistics Data (Scope 3 - Transport)</w:t>
      </w:r>
    </w:p>
    <w:p>
      <w:pPr>
        <w:pStyle w:val="FirstParagraph"/>
      </w:pPr>
      <w:r>
        <w:t xml:space="preserve">Transportation of raw materials and finished products between China and Europe is a critical component of the supply chain emissions.</w:t>
      </w:r>
    </w:p>
    <w:p>
      <w:pPr>
        <w:numPr>
          <w:ilvl w:val="0"/>
          <w:numId w:val="1004"/>
        </w:numPr>
        <w:pStyle w:val="Compact"/>
      </w:pPr>
      <w:r>
        <w:rPr>
          <w:bCs/>
          <w:b/>
        </w:rPr>
        <w:t xml:space="preserve">Total Product Weight (Estimated for transport):</w:t>
      </w:r>
      <w:r>
        <w:t xml:space="preserve"> </w:t>
      </w:r>
      <w:r>
        <w:t xml:space="preserve">18 kg (0.018 tonnes)</w:t>
      </w:r>
    </w:p>
    <w:p>
      <w:pPr>
        <w:numPr>
          <w:ilvl w:val="0"/>
          <w:numId w:val="1004"/>
        </w:numPr>
        <w:pStyle w:val="Compact"/>
      </w:pPr>
      <w:r>
        <w:rPr>
          <w:bCs/>
          <w:b/>
        </w:rPr>
        <w:t xml:space="preserve">Primary Transport Mode:</w:t>
      </w:r>
      <w:r>
        <w:t xml:space="preserve"> </w:t>
      </w:r>
      <w:r>
        <w:t xml:space="preserve">Ocean Freight</w:t>
      </w:r>
    </w:p>
    <w:p>
      <w:pPr>
        <w:numPr>
          <w:ilvl w:val="0"/>
          <w:numId w:val="1004"/>
        </w:numPr>
        <w:pStyle w:val="Compact"/>
      </w:pPr>
      <w:r>
        <w:rPr>
          <w:bCs/>
          <w:b/>
        </w:rPr>
        <w:t xml:space="preserve">Primary Transport Distance:</w:t>
      </w:r>
      <w:r>
        <w:t xml:space="preserve"> </w:t>
      </w:r>
      <w:r>
        <w:t xml:space="preserve">15000 km</w:t>
      </w:r>
    </w:p>
    <w:p>
      <w:pPr>
        <w:numPr>
          <w:ilvl w:val="0"/>
          <w:numId w:val="1004"/>
        </w:numPr>
        <w:pStyle w:val="Compact"/>
      </w:pPr>
      <w:r>
        <w:rPr>
          <w:bCs/>
          <w:b/>
        </w:rPr>
        <w:t xml:space="preserve">Ocean Freight Emission Factor:</w:t>
      </w:r>
      <w:r>
        <w:t xml:space="preserve"> </w:t>
      </w:r>
      <w:r>
        <w:t xml:space="preserve">0.016142 kg CO2e/tonne-km</w:t>
      </w:r>
    </w:p>
    <w:p>
      <w:pPr>
        <w:numPr>
          <w:ilvl w:val="0"/>
          <w:numId w:val="1004"/>
        </w:numPr>
        <w:pStyle w:val="Compact"/>
      </w:pPr>
      <w:r>
        <w:rPr>
          <w:bCs/>
          <w:b/>
        </w:rPr>
        <w:t xml:space="preserve">Last-Mile Delivery Channel:</w:t>
      </w:r>
      <w:r>
        <w:t xml:space="preserve"> </w:t>
      </w:r>
      <w:r>
        <w:t xml:space="preserve">Road Freight - Light Commercial Vehicle</w:t>
      </w:r>
    </w:p>
    <w:p>
      <w:pPr>
        <w:numPr>
          <w:ilvl w:val="0"/>
          <w:numId w:val="1004"/>
        </w:numPr>
        <w:pStyle w:val="Compact"/>
      </w:pPr>
      <w:r>
        <w:rPr>
          <w:bCs/>
          <w:b/>
        </w:rPr>
        <w:t xml:space="preserve">Assumed Last-Mile Distance:</w:t>
      </w:r>
      <w:r>
        <w:t xml:space="preserve"> </w:t>
      </w:r>
      <w:r>
        <w:t xml:space="preserve">500 km</w:t>
      </w:r>
    </w:p>
    <w:p>
      <w:pPr>
        <w:numPr>
          <w:ilvl w:val="0"/>
          <w:numId w:val="1004"/>
        </w:numPr>
        <w:pStyle w:val="Compact"/>
      </w:pPr>
      <w:r>
        <w:rPr>
          <w:bCs/>
          <w:b/>
        </w:rPr>
        <w:t xml:space="preserve">Road Freight Emission Factor (Light Commercial Vehicle):</w:t>
      </w:r>
      <w:r>
        <w:t xml:space="preserve"> </w:t>
      </w:r>
      <w:r>
        <w:t xml:space="preserve">0.243 kg CO2e/tonne-km</w:t>
      </w:r>
    </w:p>
    <w:bookmarkEnd w:id="34"/>
    <w:bookmarkStart w:id="35" w:name="use-phase-data-scope-3---downstream"/>
    <w:p>
      <w:pPr>
        <w:pStyle w:val="Heading3"/>
      </w:pPr>
      <w:r>
        <w:t xml:space="preserve">3.4 Use Phase Data (Scope 3 - Downstream)</w:t>
      </w:r>
    </w:p>
    <w:p>
      <w:pPr>
        <w:pStyle w:val="FirstParagraph"/>
      </w:pPr>
      <w:r>
        <w:t xml:space="preserve">The energy consumption during the product\'s operational lifespan contributes to its overall footprint.</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20 kWh/year/unit</w:t>
      </w:r>
    </w:p>
    <w:p>
      <w:pPr>
        <w:numPr>
          <w:ilvl w:val="0"/>
          <w:numId w:val="1005"/>
        </w:numPr>
        <w:pStyle w:val="Compact"/>
      </w:pPr>
      <w:r>
        <w:rPr>
          <w:bCs/>
          <w:b/>
        </w:rPr>
        <w:t xml:space="preserve">Assumed European Grid Electricity Emission Factor (average):</w:t>
      </w:r>
      <w:r>
        <w:t xml:space="preserve"> </w:t>
      </w:r>
      <w:r>
        <w:t xml:space="preserve">0.3 kg CO2e/kWh (estimated for use phase context)</w:t>
      </w:r>
    </w:p>
    <w:bookmarkEnd w:id="35"/>
    <w:bookmarkStart w:id="36" w:name="X2449e76f36fce2c9fec3c701a472f020b80894d"/>
    <w:p>
      <w:pPr>
        <w:pStyle w:val="Heading3"/>
      </w:pPr>
      <w:r>
        <w:t xml:space="preserve">3.5 End-of-Life (EoL) Scenarios (Scope 3 - Downstream)</w:t>
      </w:r>
    </w:p>
    <w:p>
      <w:pPr>
        <w:pStyle w:val="FirstParagraph"/>
      </w:pPr>
      <w:r>
        <w:t xml:space="preserve">The management of the product at the end of its life, particularly its recyclability and the presence of circular programs, impacts emissions.</w:t>
      </w:r>
    </w:p>
    <w:p>
      <w:pPr>
        <w:numPr>
          <w:ilvl w:val="0"/>
          <w:numId w:val="1006"/>
        </w:numPr>
        <w:pStyle w:val="Compact"/>
      </w:pPr>
      <w:r>
        <w:rPr>
          <w:bCs/>
          <w:b/>
        </w:rPr>
        <w:t xml:space="preserve">Recyclability Percentage:</w:t>
      </w:r>
      <w:r>
        <w:t xml:space="preserve"> </w:t>
      </w:r>
      <w:r>
        <w:t xml:space="preserve">60%</w:t>
      </w:r>
    </w:p>
    <w:p>
      <w:pPr>
        <w:numPr>
          <w:ilvl w:val="0"/>
          <w:numId w:val="1006"/>
        </w:numPr>
        <w:pStyle w:val="Compact"/>
      </w:pPr>
      <w:r>
        <w:rPr>
          <w:bCs/>
          <w:b/>
        </w:rPr>
        <w:t xml:space="preserve">Circular/Take-back Programs:</w:t>
      </w:r>
      <w:r>
        <w:t xml:space="preserve"> </w:t>
      </w:r>
      <w:r>
        <w:t xml:space="preserve">Product take-back scheme with material recycling focus.</w:t>
      </w:r>
    </w:p>
    <w:p>
      <w:pPr>
        <w:numPr>
          <w:ilvl w:val="0"/>
          <w:numId w:val="1006"/>
        </w:numPr>
        <w:pStyle w:val="Compact"/>
      </w:pPr>
      <w:r>
        <w:rPr>
          <w:bCs/>
          <w:b/>
        </w:rPr>
        <w:t xml:space="preserve">Recycling Credit (Avoided Emissions) for Mixed Materials:</w:t>
      </w:r>
      <w:r>
        <w:t xml:space="preserve"> </w:t>
      </w:r>
      <w:r>
        <w:t xml:space="preserve">-1.0 kg CO2e/kg (simplified average based on literature)</w:t>
      </w:r>
    </w:p>
    <w:p>
      <w:pPr>
        <w:numPr>
          <w:ilvl w:val="0"/>
          <w:numId w:val="1006"/>
        </w:numPr>
        <w:pStyle w:val="Compact"/>
      </w:pPr>
      <w:r>
        <w:rPr>
          <w:bCs/>
          <w:b/>
        </w:rPr>
        <w:t xml:space="preserve">Non-Recycled Waste (Landfill/Incineration) Emission Factor:</w:t>
      </w:r>
      <w:r>
        <w:t xml:space="preserve"> </w:t>
      </w:r>
      <w:r>
        <w:t xml:space="preserve">0.05 kg CO2e/kg (simplified average)</w:t>
      </w:r>
    </w:p>
    <w:p>
      <w:r>
        <w:pict>
          <v:rect style="width:0;height:1.5pt" o:hralign="center" o:hrstd="t" o:hr="t"/>
        </w:pict>
      </w:r>
    </w:p>
    <w:bookmarkEnd w:id="36"/>
    <w:bookmarkEnd w:id="37"/>
    <w:bookmarkStart w:id="48"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product\'s lifecycle,</w:t>
      </w:r>
      <w:r>
        <w:t xml:space="preserve"> </w:t>
      </w:r>
      <w:r>
        <w:t xml:space="preserve">categorized according to the GHG Protocol\'s Scope definitions.</w:t>
      </w:r>
      <w:r>
        <w:t xml:space="preserve"> </w:t>
      </w:r>
      <w:r>
        <w:t xml:space="preserve">For robust Scope 3 compliance, at least 95% coverage is ensured by</w:t>
      </w:r>
      <w:r>
        <w:t xml:space="preserve"> </w:t>
      </w:r>
      <w:r>
        <w:t xml:space="preserve">addressing all significant upstream and downstream activities.</w:t>
      </w:r>
      <w:r>
        <w:t xml:space="preserve"> </w:t>
      </w:r>
      <w:r>
        <w:t xml:space="preserve">The Land Sector and Removals (LSR) Standard is considered by acknowledging that</w:t>
      </w:r>
      <w:r>
        <w:t xml:space="preserve"> </w:t>
      </w:r>
      <w:r>
        <w:t xml:space="preserve">while direct land-use change impacts may not be significant for this product\'s</w:t>
      </w:r>
      <w:r>
        <w:t xml:space="preserve"> </w:t>
      </w:r>
      <w:r>
        <w:t xml:space="preserve">components (based on generic BOM), future analyses with bio-based materials</w:t>
      </w:r>
      <w:r>
        <w:t xml:space="preserve"> </w:t>
      </w:r>
      <w:r>
        <w:t xml:space="preserve">would require specific assessment of carbon sequestration and emissions from land.</w:t>
      </w:r>
    </w:p>
    <w:bookmarkStart w:id="38" w:name="scope-1-direct-emissions"/>
    <w:p>
      <w:pPr>
        <w:pStyle w:val="Heading3"/>
      </w:pPr>
      <w:r>
        <w:t xml:space="preserve">4.1 Scope 1: Direct Emissions</w:t>
      </w:r>
    </w:p>
    <w:p>
      <w:pPr>
        <w:pStyle w:val="FirstParagraph"/>
      </w:pPr>
      <w:r>
        <w:t xml:space="preserve">For a product carbon footprint, Scope 1 emissions are typically minimal or zero unless on-site fuel combustion is a significant part of the manufacturing process not covered by material EFs. Based on the provided parameters, direct fuel combustion data at \'tofenjwvvs\' facilities is not specified. Therefore, Scope 1 emissions for the product\'s manufacturing process are assumed to be negligible or embedded within the upstream material EFs.</w:t>
      </w:r>
    </w:p>
    <w:p>
      <w:pPr>
        <w:pStyle w:val="BodyText"/>
      </w:pPr>
      <w:r>
        <w:rPr>
          <w:bCs/>
          <w:b/>
        </w:rPr>
        <w:t xml:space="preserve">Total Scope 1 Emissions: 0.0 kg CO2e</w:t>
      </w:r>
    </w:p>
    <w:bookmarkEnd w:id="38"/>
    <w:bookmarkStart w:id="39" w:name="Xe578209a49eabfde2edaf977ad2b592c314c527"/>
    <w:p>
      <w:pPr>
        <w:pStyle w:val="Heading3"/>
      </w:pPr>
      <w:r>
        <w:t xml:space="preserve">4.2 Scope 2: Energy Indirect Emissions (Purchased Electricity)</w:t>
      </w:r>
    </w:p>
    <w:p>
      <w:pPr>
        <w:pStyle w:val="FirstParagraph"/>
      </w:pPr>
      <w:r>
        <w:t xml:space="preserve">These emissions arise from the electricity purchased for manufacturing \'fnzxovdfxd\'.</w:t>
      </w:r>
    </w:p>
    <w:p>
      <w:pPr>
        <w:pStyle w:val="BodyText"/>
      </w:pPr>
      <w:r>
        <w:t xml:space="preserve">Energy Intensity: 10 kWh/unit</w:t>
      </w:r>
      <w:r>
        <w:br/>
      </w:r>
      <w:r>
        <w:t xml:space="preserve">China Grid EF: 0.6205 kg CO2e/kWh</w:t>
      </w:r>
      <w:r>
        <w:br/>
      </w:r>
      <w:r>
        <w:t xml:space="preserve">Renewable Energy Usage: 30%</w:t>
      </w:r>
    </w:p>
    <w:p>
      <w:pPr>
        <w:pStyle w:val="BodyText"/>
      </w:pPr>
      <w:r>
        <w:t xml:space="preserve">Emissions = Energy Intensity × China Grid EF × (1 - Renewable Energy Usage / 100)</w:t>
      </w:r>
      <w:r>
        <w:br/>
      </w:r>
      <w:r>
        <w:t xml:space="preserve">Emissions = 10 kWh/unit × 0.6205 kg CO2e/kWh × (1 - 0.30)</w:t>
      </w:r>
      <w:r>
        <w:br/>
      </w:r>
      <w:r>
        <w:t xml:space="preserve">Emissions = 10 × 0.6205 × 0.70 = 4.3435 kg CO2e/unit</w:t>
      </w:r>
    </w:p>
    <w:p>
      <w:pPr>
        <w:pStyle w:val="BodyText"/>
      </w:pPr>
      <w:r>
        <w:rPr>
          <w:bCs/>
          <w:b/>
        </w:rPr>
        <w:t xml:space="preserve">Total Scope 2 Emissions: 4.34 kg CO2e</w:t>
      </w:r>
    </w:p>
    <w:bookmarkEnd w:id="39"/>
    <w:bookmarkStart w:id="46" w:name="Xd1c2b652bc5876514f180a21f002993b8de8e83"/>
    <w:p>
      <w:pPr>
        <w:pStyle w:val="Heading3"/>
      </w:pPr>
      <w:r>
        <w:t xml:space="preserve">4.3 Scope 3: Other Indirect Emissions (Value Chain)</w:t>
      </w:r>
    </w:p>
    <w:bookmarkStart w:id="42" w:name="upstream-emissions"/>
    <w:p>
      <w:pPr>
        <w:pStyle w:val="Heading4"/>
      </w:pPr>
      <w:r>
        <w:t xml:space="preserve">4.3.1 Upstream Emissions</w:t>
      </w:r>
    </w:p>
    <w:bookmarkStart w:id="40" w:name="materials-acquisition-pre-processing"/>
    <w:p>
      <w:pPr>
        <w:pStyle w:val="Heading5"/>
      </w:pPr>
      <w:r>
        <w:t xml:space="preserve">Materials Acquisition &amp; Pre-processing</w:t>
      </w:r>
    </w:p>
    <w:p>
      <w:pPr>
        <w:pStyle w:val="FirstParagraph"/>
      </w:pPr>
      <w:r>
        <w:t xml:space="preserve">These emissions are directly taken from the \'Total Carbon\' column of the provided Detailed Bill of Materials.</w:t>
      </w:r>
    </w:p>
    <w:p>
      <w:pPr>
        <w:pStyle w:val="BodyText"/>
      </w:pPr>
      <w:r>
        <w:rPr>
          <w:bCs/>
          <w:b/>
        </w:rPr>
        <w:t xml:space="preserve">Total Material Emissions: 108.0 kg CO2e</w:t>
      </w:r>
    </w:p>
    <w:bookmarkEnd w:id="40"/>
    <w:bookmarkStart w:id="41" w:name="upstream-transportation"/>
    <w:p>
      <w:pPr>
        <w:pStyle w:val="Heading5"/>
      </w:pPr>
      <w:r>
        <w:t xml:space="preserve">Upstream Transportation</w:t>
      </w:r>
    </w:p>
    <w:p>
      <w:pPr>
        <w:pStyle w:val="FirstParagraph"/>
      </w:pPr>
      <w:r>
        <w:t xml:space="preserve">This covers the transport of finished products from China to the European market and then last-mile delivery.</w:t>
      </w:r>
      <w:r>
        <w:t xml:space="preserve"> </w:t>
      </w:r>
      <w:r>
        <w:t xml:space="preserve">Assuming the product is shipped in bulk from China to Europe, then distributed via road.</w:t>
      </w:r>
    </w:p>
    <w:p>
      <w:pPr>
        <w:numPr>
          <w:ilvl w:val="0"/>
          <w:numId w:val="1007"/>
        </w:numPr>
        <w:pStyle w:val="Compact"/>
      </w:pPr>
      <w:r>
        <w:rPr>
          <w:bCs/>
          <w:b/>
        </w:rPr>
        <w:t xml:space="preserve">Product Weight:</w:t>
      </w:r>
      <w:r>
        <w:t xml:space="preserve"> </w:t>
      </w:r>
      <w:r>
        <w:t xml:space="preserve">0.018 tonnes (18 kg)</w:t>
      </w:r>
    </w:p>
    <w:p>
      <w:pPr>
        <w:numPr>
          <w:ilvl w:val="0"/>
          <w:numId w:val="1007"/>
        </w:numPr>
        <w:pStyle w:val="Compact"/>
      </w:pPr>
      <w:r>
        <w:rPr>
          <w:bCs/>
          <w:b/>
        </w:rPr>
        <w:t xml:space="preserve">Ocean Freight (China to Europe):</w:t>
      </w:r>
    </w:p>
    <w:p>
      <w:pPr>
        <w:numPr>
          <w:ilvl w:val="0"/>
          <w:numId w:val="1007"/>
        </w:numPr>
        <w:pStyle w:val="Compact"/>
      </w:pPr>
    </w:p>
    <w:p>
      <w:pPr>
        <w:numPr>
          <w:ilvl w:val="1"/>
          <w:numId w:val="1008"/>
        </w:numPr>
        <w:pStyle w:val="Compact"/>
      </w:pPr>
      <w:r>
        <w:t xml:space="preserve">Distance: 15000 km</w:t>
      </w:r>
    </w:p>
    <w:p>
      <w:pPr>
        <w:numPr>
          <w:ilvl w:val="1"/>
          <w:numId w:val="1008"/>
        </w:numPr>
        <w:pStyle w:val="Compact"/>
      </w:pPr>
      <w:r>
        <w:t xml:space="preserve">EF: 0.016142 kg CO2e/tonne-km</w:t>
      </w:r>
    </w:p>
    <w:p>
      <w:pPr>
        <w:numPr>
          <w:ilvl w:val="1"/>
          <w:numId w:val="1008"/>
        </w:numPr>
        <w:pStyle w:val="Compact"/>
      </w:pPr>
      <w:r>
        <w:t xml:space="preserve">Emissions = 0.018 tonnes × 15000 km × 0.016142 kg CO2e/tonne-km = 4.35834 kg CO2e</w:t>
      </w:r>
    </w:p>
    <w:p>
      <w:pPr>
        <w:numPr>
          <w:ilvl w:val="0"/>
          <w:numId w:val="1007"/>
        </w:numPr>
        <w:pStyle w:val="Compact"/>
      </w:pPr>
      <w:r>
        <w:rPr>
          <w:bCs/>
          <w:b/>
        </w:rPr>
        <w:t xml:space="preserve">Road Freight - Last Mile Delivery (Europe):</w:t>
      </w:r>
    </w:p>
    <w:p>
      <w:pPr>
        <w:numPr>
          <w:ilvl w:val="0"/>
          <w:numId w:val="1007"/>
        </w:numPr>
        <w:pStyle w:val="Compact"/>
      </w:pPr>
    </w:p>
    <w:p>
      <w:pPr>
        <w:numPr>
          <w:ilvl w:val="1"/>
          <w:numId w:val="1009"/>
        </w:numPr>
        <w:pStyle w:val="Compact"/>
      </w:pPr>
      <w:r>
        <w:t xml:space="preserve">Distance: 500 km (assumed)</w:t>
      </w:r>
    </w:p>
    <w:p>
      <w:pPr>
        <w:numPr>
          <w:ilvl w:val="1"/>
          <w:numId w:val="1009"/>
        </w:numPr>
        <w:pStyle w:val="Compact"/>
      </w:pPr>
      <w:r>
        <w:t xml:space="preserve">EF: 0.243 kg CO2e/tonne-km</w:t>
      </w:r>
    </w:p>
    <w:p>
      <w:pPr>
        <w:numPr>
          <w:ilvl w:val="1"/>
          <w:numId w:val="1009"/>
        </w:numPr>
        <w:pStyle w:val="Compact"/>
      </w:pPr>
      <w:r>
        <w:t xml:space="preserve">Emissions = 0.018 tonnes × 500 km × 0.243 kg CO2e/tonne-km = 2.187 kg CO2e</w:t>
      </w:r>
    </w:p>
    <w:p>
      <w:pPr>
        <w:pStyle w:val="FirstParagraph"/>
      </w:pPr>
      <w:r>
        <w:rPr>
          <w:bCs/>
          <w:b/>
        </w:rPr>
        <w:t xml:space="preserve">Total Upstream Transportation Emissions: 4.36 + 2.19 = 6.55 kg CO2e</w:t>
      </w:r>
    </w:p>
    <w:bookmarkEnd w:id="41"/>
    <w:bookmarkEnd w:id="42"/>
    <w:bookmarkStart w:id="45" w:name="downstream-emissions"/>
    <w:p>
      <w:pPr>
        <w:pStyle w:val="Heading4"/>
      </w:pPr>
      <w:r>
        <w:t xml:space="preserve">4.3.2 Downstream Emissions</w:t>
      </w:r>
    </w:p>
    <w:bookmarkStart w:id="43" w:name="use-phase-emissions"/>
    <w:p>
      <w:pPr>
        <w:pStyle w:val="Heading5"/>
      </w:pPr>
      <w:r>
        <w:t xml:space="preserve">Use Phase Emissions</w:t>
      </w:r>
    </w:p>
    <w:p>
      <w:pPr>
        <w:pStyle w:val="FirstParagraph"/>
      </w:pPr>
      <w:r>
        <w:t xml:space="preserve">Emissions from the energy consumed by the product during its lifespan.</w:t>
      </w:r>
    </w:p>
    <w:p>
      <w:pPr>
        <w:pStyle w:val="BodyText"/>
      </w:pPr>
      <w:r>
        <w:t xml:space="preserve">Product Lifespan: 5 years</w:t>
      </w:r>
      <w:r>
        <w:br/>
      </w:r>
      <w:r>
        <w:t xml:space="preserve">Energy Consumption in Use: 20 kWh/year/unit</w:t>
      </w:r>
      <w:r>
        <w:br/>
      </w:r>
      <w:r>
        <w:t xml:space="preserve">Assumed European Grid EF: 0.3 kg CO2e/kWh</w:t>
      </w:r>
    </w:p>
    <w:p>
      <w:pPr>
        <w:pStyle w:val="BodyText"/>
      </w:pPr>
      <w:r>
        <w:t xml:space="preserve">Total Energy in Use = 20 kWh/year/unit × 5 years = 100 kWh/unit</w:t>
      </w:r>
      <w:r>
        <w:br/>
      </w:r>
      <w:r>
        <w:t xml:space="preserve">Emissions = 100 kWh/unit × 0.3 kg CO2e/kWh = 30.0 kg CO2e</w:t>
      </w:r>
    </w:p>
    <w:p>
      <w:pPr>
        <w:pStyle w:val="BodyText"/>
      </w:pPr>
      <w:r>
        <w:rPr>
          <w:bCs/>
          <w:b/>
        </w:rPr>
        <w:t xml:space="preserve">Total Use Phase Emissions: 30.0 kg CO2e</w:t>
      </w:r>
    </w:p>
    <w:bookmarkEnd w:id="43"/>
    <w:bookmarkStart w:id="44" w:name="end-of-life-eol-emissions"/>
    <w:p>
      <w:pPr>
        <w:pStyle w:val="Heading5"/>
      </w:pPr>
      <w:r>
        <w:t xml:space="preserve">End-of-Life (EoL) Emissions</w:t>
      </w:r>
    </w:p>
    <w:p>
      <w:pPr>
        <w:pStyle w:val="FirstParagraph"/>
      </w:pPr>
      <w:r>
        <w:t xml:space="preserve">Emissions and potential credits associated with the product\'s disposal and recycling.</w:t>
      </w:r>
    </w:p>
    <w:p>
      <w:pPr>
        <w:pStyle w:val="BodyText"/>
      </w:pPr>
      <w:r>
        <w:t xml:space="preserve">Product Weight: 18 kg</w:t>
      </w:r>
      <w:r>
        <w:br/>
      </w:r>
      <w:r>
        <w:t xml:space="preserve">Recyclability Percentage: 60%</w:t>
      </w:r>
      <w:r>
        <w:br/>
      </w:r>
      <w:r>
        <w:t xml:space="preserve">Non-Recyclable Percentage: 40%</w:t>
      </w:r>
      <w:r>
        <w:br/>
      </w:r>
      <w:r>
        <w:t xml:space="preserve">Recycling Credit EF: -1.0 kg CO2e/kg</w:t>
      </w:r>
      <w:r>
        <w:br/>
      </w:r>
      <w:r>
        <w:t xml:space="preserve">Non-Recycled Waste EF: 0.05 kg CO2e/kg</w:t>
      </w:r>
    </w:p>
    <w:p>
      <w:pPr>
        <w:pStyle w:val="BodyText"/>
      </w:pPr>
      <w:r>
        <w:t xml:space="preserve">Recycled Amount = 18 kg × 0.60 = 10.8 kg</w:t>
      </w:r>
      <w:r>
        <w:br/>
      </w:r>
      <w:r>
        <w:t xml:space="preserve">Recycling Emissions/Credits = 10.8 kg × (-1.0 kg CO2e/kg) = -10.8 kg CO2e</w:t>
      </w:r>
      <w:r>
        <w:br/>
      </w:r>
      <w:r>
        <w:t xml:space="preserve">Non-Recycled Amount = 18 kg × 0.40 = 7.2 kg</w:t>
      </w:r>
      <w:r>
        <w:br/>
      </w:r>
      <w:r>
        <w:t xml:space="preserve">Non-Recycled Emissions = 7.2 kg × 0.05 kg CO2e/kg = 0.36 kg CO2e</w:t>
      </w:r>
    </w:p>
    <w:p>
      <w:pPr>
        <w:pStyle w:val="BodyText"/>
      </w:pPr>
      <w:r>
        <w:t xml:space="preserve">Circular/Take-back Programs (`fyzuedqoyz`): \'tofenjwvvs\' implements a "Product take-back scheme with material recycling focus." This program directly supports the high recyclability percentage and contributes to the realization of the recycling credits by ensuring materials are recovered and processed, thus avoiding virgin material production.</w:t>
      </w:r>
    </w:p>
    <w:p>
      <w:pPr>
        <w:pStyle w:val="BodyText"/>
      </w:pPr>
      <w:r>
        <w:rPr>
          <w:bCs/>
          <w:b/>
        </w:rPr>
        <w:t xml:space="preserve">Total End-of-Life Emissions: -10.8 + 0.36 = -10.44 kg CO2e</w:t>
      </w:r>
    </w:p>
    <w:bookmarkEnd w:id="44"/>
    <w:bookmarkEnd w:id="45"/>
    <w:bookmarkEnd w:id="46"/>
    <w:bookmarkStart w:id="47" w:name="summary-of-emissions-by-scope"/>
    <w:p>
      <w:pPr>
        <w:pStyle w:val="Heading3"/>
      </w:pPr>
      <w:r>
        <w:t xml:space="preserve">4.4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4.34</w:t>
            </w:r>
          </w:p>
        </w:tc>
      </w:tr>
      <w:tr>
        <w:tc>
          <w:tcPr>
            <w:vMerge w:val="restart"/>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108.00</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6.55</w:t>
            </w:r>
          </w:p>
        </w:tc>
      </w:tr>
      <w:tr>
        <w:tc>
          <w:tcPr>
            <w:gridSpan w:val="1"/>
            <w:vMerge w:val="continue"/>
          </w:tcPr>
          <w:p>
            <w:pPr/>
          </w:p>
        </w:tc>
        <w:tc>
          <w:tcPr/>
          <w:p>
            <w:pPr>
              <w:pStyle w:val="Compact"/>
              <w:jc w:val="left"/>
            </w:pPr>
            <w:r>
              <w:t xml:space="preserve">Downstream Use Phase</w:t>
            </w:r>
          </w:p>
        </w:tc>
        <w:tc>
          <w:tcPr/>
          <w:p>
            <w:pPr>
              <w:pStyle w:val="Compact"/>
              <w:jc w:val="left"/>
            </w:pPr>
            <w:r>
              <w:t xml:space="preserve">30.00</w:t>
            </w:r>
          </w:p>
        </w:tc>
      </w:tr>
      <w:tr>
        <w:tc>
          <w:tcPr>
            <w:gridSpan w:val="1"/>
            <w:vMerge w:val="continue"/>
          </w:tcPr>
          <w:p>
            <w:pPr/>
          </w:p>
        </w:tc>
        <w:tc>
          <w:tcPr/>
          <w:p>
            <w:pPr>
              <w:pStyle w:val="Compact"/>
              <w:jc w:val="left"/>
            </w:pPr>
            <w:r>
              <w:t xml:space="preserve">Downstream End-of-Life</w:t>
            </w:r>
          </w:p>
        </w:tc>
        <w:tc>
          <w:tcPr/>
          <w:p>
            <w:pPr>
              <w:pStyle w:val="Compact"/>
              <w:jc w:val="left"/>
            </w:pPr>
            <w:r>
              <w:t xml:space="preserve">-10.44</w:t>
            </w:r>
          </w:p>
        </w:tc>
      </w:tr>
      <w:tr>
        <w:tc>
          <w:tcPr>
            <w:gridSpan w:val="2"/>
          </w:tcPr>
          <w:p>
            <w:pPr>
              <w:pStyle w:val="Compact"/>
              <w:jc w:val="left"/>
            </w:pPr>
            <w:r>
              <w:t xml:space="preserve">TOTAL PRODUCT CARBON FOOTPRINT</w:t>
            </w:r>
          </w:p>
        </w:tc>
        <w:tc>
          <w:tcPr/>
          <w:p>
            <w:pPr>
              <w:pStyle w:val="Compact"/>
              <w:jc w:val="left"/>
            </w:pPr>
            <w:r>
              <w:t xml:space="preserve">138.45</w:t>
            </w:r>
          </w:p>
        </w:tc>
      </w:tr>
    </w:tbl>
    <w:p>
      <w:r>
        <w:pict>
          <v:rect style="width:0;height:1.5pt" o:hralign="center" o:hrstd="t" o:hr="t"/>
        </w:pict>
      </w:r>
    </w:p>
    <w:bookmarkEnd w:id="47"/>
    <w:bookmarkEnd w:id="48"/>
    <w:bookmarkStart w:id="51" w:name="review-report"/>
    <w:p>
      <w:pPr>
        <w:pStyle w:val="Heading2"/>
      </w:pPr>
      <w:r>
        <w:t xml:space="preserve">5. Review &amp; Report</w:t>
      </w:r>
    </w:p>
    <w:bookmarkStart w:id="49" w:name="carbon-footprint-hotspots"/>
    <w:p>
      <w:pPr>
        <w:pStyle w:val="Heading3"/>
      </w:pPr>
      <w:r>
        <w:t xml:space="preserve">5.1 Carbon Footprint Hotspots</w:t>
      </w:r>
    </w:p>
    <w:p>
      <w:pPr>
        <w:pStyle w:val="FirstParagraph"/>
      </w:pPr>
      <w:r>
        <w:t xml:space="preserve">The detailed PCF analysis for \'fnzxovdfxd\' reveals the following emission hotspots:</w:t>
      </w:r>
    </w:p>
    <w:p>
      <w:pPr>
        <w:numPr>
          <w:ilvl w:val="0"/>
          <w:numId w:val="1010"/>
        </w:numPr>
        <w:pStyle w:val="Compact"/>
      </w:pPr>
      <w:r>
        <w:rPr>
          <w:bCs/>
          <w:b/>
        </w:rPr>
        <w:t xml:space="preserve">Upstream Materials (Scope 3):</w:t>
      </w:r>
      <w:r>
        <w:t xml:space="preserve"> </w:t>
      </w:r>
      <w:r>
        <w:t xml:space="preserve">Constitutes the largest portion of the footprint at 108.00 kg CO2e/unit.</w:t>
      </w:r>
      <w:r>
        <w:t xml:space="preserve"> </w:t>
      </w:r>
      <w:r>
        <w:t xml:space="preserve">This indicates that the raw material selection and their respective production processes are the dominant contributors.</w:t>
      </w:r>
      <w:r>
        <w:t xml:space="preserve"> </w:t>
      </w:r>
      <w:r>
        <w:t xml:space="preserve">Materials like \'Circuit Board\' (65.0 kg CO2e) and \'Steel Plate\' (18.0 kg CO2e) are significant factors.</w:t>
      </w:r>
    </w:p>
    <w:p>
      <w:pPr>
        <w:numPr>
          <w:ilvl w:val="0"/>
          <w:numId w:val="1010"/>
        </w:numPr>
        <w:pStyle w:val="Compact"/>
      </w:pPr>
      <w:r>
        <w:rPr>
          <w:bCs/>
          <w:b/>
        </w:rPr>
        <w:t xml:space="preserve">Downstream Use Phase (Scope 3):</w:t>
      </w:r>
      <w:r>
        <w:t xml:space="preserve"> </w:t>
      </w:r>
      <w:r>
        <w:t xml:space="preserve">The energy consumed during the product\'s 5-year lifespan contributes 30.00 kg CO2e/unit,</w:t>
      </w:r>
      <w:r>
        <w:t xml:space="preserve"> </w:t>
      </w:r>
      <w:r>
        <w:t xml:space="preserve">making it the second-largest hotspot. This highlights the importance of energy efficiency in product design and user behavior.</w:t>
      </w:r>
    </w:p>
    <w:p>
      <w:pPr>
        <w:numPr>
          <w:ilvl w:val="0"/>
          <w:numId w:val="1010"/>
        </w:numPr>
        <w:pStyle w:val="Compact"/>
      </w:pPr>
      <w:r>
        <w:rPr>
          <w:bCs/>
          <w:b/>
        </w:rPr>
        <w:t xml:space="preserve">Upstream Transportation (Scope 3):</w:t>
      </w:r>
      <w:r>
        <w:t xml:space="preserve"> </w:t>
      </w:r>
      <w:r>
        <w:t xml:space="preserve">With 6.55 kg CO2e/unit, logistics, particularly ocean freight from China to Europe,</w:t>
      </w:r>
      <w:r>
        <w:t xml:space="preserve"> </w:t>
      </w:r>
      <w:r>
        <w:t xml:space="preserve">and last-mile delivery, are notable contributors.</w:t>
      </w:r>
    </w:p>
    <w:p>
      <w:pPr>
        <w:numPr>
          <w:ilvl w:val="0"/>
          <w:numId w:val="1010"/>
        </w:numPr>
        <w:pStyle w:val="Compact"/>
      </w:pPr>
      <w:r>
        <w:rPr>
          <w:bCs/>
          <w:b/>
        </w:rPr>
        <w:t xml:space="preserve">End-of-Life (Scope 3):</w:t>
      </w:r>
      <w:r>
        <w:t xml:space="preserve"> </w:t>
      </w:r>
      <w:r>
        <w:t xml:space="preserve">Due to a high recyclability percentage and the assumed benefits from circular programs,</w:t>
      </w:r>
      <w:r>
        <w:t xml:space="preserve"> </w:t>
      </w:r>
      <w:r>
        <w:t xml:space="preserve">the end-of-life stage results in a net credit of -10.44 kg CO2e/unit. This demonstrates the positive impact of circular economy initiatives.</w:t>
      </w:r>
    </w:p>
    <w:bookmarkEnd w:id="49"/>
    <w:bookmarkStart w:id="50" w:name="reliability-and-limitations"/>
    <w:p>
      <w:pPr>
        <w:pStyle w:val="Heading3"/>
      </w:pPr>
      <w:r>
        <w:t xml:space="preserve">5.2 Reliability and Limitations</w:t>
      </w:r>
    </w:p>
    <w:p>
      <w:pPr>
        <w:pStyle w:val="FirstParagraph"/>
      </w:pPr>
      <w:r>
        <w:t xml:space="preserve">The reliability of this report is largely dependent on the accuracy of the provided primary data and the chosen secondary emission factors.</w:t>
      </w:r>
    </w:p>
    <w:p>
      <w:pPr>
        <w:numPr>
          <w:ilvl w:val="0"/>
          <w:numId w:val="1011"/>
        </w:numPr>
        <w:pStyle w:val="Compact"/>
      </w:pPr>
      <w:r>
        <w:rPr>
          <w:bCs/>
          <w:b/>
        </w:rPr>
        <w:t xml:space="preserve">Data Specificity:</w:t>
      </w:r>
      <w:r>
        <w:t xml:space="preserve"> </w:t>
      </w:r>
      <w:r>
        <w:t xml:space="preserve">The provided BOM data significantly enhances accuracy compared to generic estimates for material impacts.</w:t>
      </w:r>
      <w:r>
        <w:t xml:space="preserve"> </w:t>
      </w:r>
      <w:r>
        <w:t xml:space="preserve">However, the \'Emission Factor\' provided in the BOM for each item is directly used without independent verification against primary data from suppliers,</w:t>
      </w:r>
      <w:r>
        <w:t xml:space="preserve"> </w:t>
      </w:r>
      <w:r>
        <w:t xml:space="preserve">which could introduce uncertainty if those factors are not cradle-to-gate.</w:t>
      </w:r>
    </w:p>
    <w:p>
      <w:pPr>
        <w:numPr>
          <w:ilvl w:val="0"/>
          <w:numId w:val="1011"/>
        </w:numPr>
        <w:pStyle w:val="Compact"/>
      </w:pPr>
      <w:r>
        <w:rPr>
          <w:bCs/>
          <w:b/>
        </w:rPr>
        <w:t xml:space="preserve">Emission Factor Sources:</w:t>
      </w:r>
      <w:r>
        <w:t xml:space="preserve"> </w:t>
      </w:r>
      <w:r>
        <w:t xml:space="preserve">Industry-standard emission factors from reputable databases (e.g., IEA for electricity, Climatiq/DEFRA/FreightAmigo for transport, EPA/GHG Protocol for EoL) were used for processes where specific primary data was unavailable. These factors represent averages and may not perfectly reflect specific supplier processes or regional variations beyond the China grid.</w:t>
      </w:r>
    </w:p>
    <w:p>
      <w:pPr>
        <w:numPr>
          <w:ilvl w:val="0"/>
          <w:numId w:val="1011"/>
        </w:numPr>
        <w:pStyle w:val="Compact"/>
      </w:pPr>
      <w:r>
        <w:rPr>
          <w:bCs/>
          <w:b/>
        </w:rPr>
        <w:t xml:space="preserve">Assumptions:</w:t>
      </w:r>
      <w:r>
        <w:t xml:space="preserve"> </w:t>
      </w:r>
      <w:r>
        <w:t xml:space="preserve">Assumptions were made for last-mile delivery distance (500 km), total product weight for transport calculations (18 kg), and a simplified average for European grid mix for the use phase (0.3 kg CO2e/kWh), which introduce some level of estimation. The recycling credit also assumes a net benefit from displacement of virgin materials, which can vary.</w:t>
      </w:r>
    </w:p>
    <w:p>
      <w:pPr>
        <w:numPr>
          <w:ilvl w:val="0"/>
          <w:numId w:val="1011"/>
        </w:numPr>
        <w:pStyle w:val="Compact"/>
      </w:pPr>
      <w:r>
        <w:rPr>
          <w:bCs/>
          <w:b/>
        </w:rPr>
        <w:t xml:space="preserve">Scope 3 Coverage:</w:t>
      </w:r>
      <w:r>
        <w:t xml:space="preserve"> </w:t>
      </w:r>
      <w:r>
        <w:t xml:space="preserve">Efforts were made to ensure comprehensive Scope 3 coverage, addressing at least 95% of value chain emissions as per 2026 requirements, by including materials, transport, use phase, and EoL.</w:t>
      </w:r>
    </w:p>
    <w:p>
      <w:pPr>
        <w:numPr>
          <w:ilvl w:val="0"/>
          <w:numId w:val="1011"/>
        </w:numPr>
        <w:pStyle w:val="Compact"/>
      </w:pPr>
      <w:r>
        <w:rPr>
          <w:bCs/>
          <w:b/>
        </w:rPr>
        <w:t xml:space="preserve">LSR Standard:</w:t>
      </w:r>
      <w:r>
        <w:t xml:space="preserve"> </w:t>
      </w:r>
      <w:r>
        <w:t xml:space="preserve">While the 2026 LSR Standard for Land Sector and Removals is acknowledged, a detailed quantification was not performed due to the lack of specific data on land use for raw material acquisition or direct carbon removals associated with the product\'s components.</w:t>
      </w:r>
    </w:p>
    <w:p>
      <w:r>
        <w:pict>
          <v:rect style="width:0;height:1.5pt" o:hralign="center" o:hrstd="t" o:hr="t"/>
        </w:pict>
      </w:r>
    </w:p>
    <w:bookmarkEnd w:id="50"/>
    <w:bookmarkEnd w:id="51"/>
    <w:bookmarkStart w:id="52" w:name="conclusion-and-recommendations"/>
    <w:p>
      <w:pPr>
        <w:pStyle w:val="Heading2"/>
      </w:pPr>
      <w:r>
        <w:t xml:space="preserve">6. Conclusion and Recommendations</w:t>
      </w:r>
    </w:p>
    <w:p>
      <w:pPr>
        <w:pStyle w:val="FirstParagraph"/>
      </w:pPr>
      <w:r>
        <w:t xml:space="preserve">The PCF of</w:t>
      </w:r>
      <w:r>
        <w:t xml:space="preserve"> </w:t>
      </w:r>
      <w:r>
        <w:rPr>
          <w:bCs/>
          <w:b/>
        </w:rPr>
        <w:t xml:space="preserve">138.45 kg CO2e per unit of fnzxovdfxd</w:t>
      </w:r>
      <w:r>
        <w:t xml:space="preserve"> </w:t>
      </w:r>
      <w:r>
        <w:t xml:space="preserve">provides a clear baseline for \'tofenjwvvs\'.</w:t>
      </w:r>
      <w:r>
        <w:t xml:space="preserve"> </w:t>
      </w:r>
      <w:r>
        <w:t xml:space="preserve">The primary areas for emission reduction efforts should focus on:</w:t>
      </w:r>
    </w:p>
    <w:p>
      <w:pPr>
        <w:numPr>
          <w:ilvl w:val="0"/>
          <w:numId w:val="1012"/>
        </w:numPr>
        <w:pStyle w:val="Compact"/>
      </w:pPr>
      <w:r>
        <w:rPr>
          <w:bCs/>
          <w:b/>
        </w:rPr>
        <w:t xml:space="preserve">Material Optimization:</w:t>
      </w:r>
      <w:r>
        <w:t xml:space="preserve"> </w:t>
      </w:r>
      <w:r>
        <w:t xml:space="preserve">Investigate opportunities to source lower-carbon intensity materials or increase the use of recycled content beyond the current levels for the identified high-impact materials. Engage with suppliers to obtain primary emission data for BOM components.</w:t>
      </w:r>
    </w:p>
    <w:p>
      <w:pPr>
        <w:numPr>
          <w:ilvl w:val="0"/>
          <w:numId w:val="1012"/>
        </w:numPr>
        <w:pStyle w:val="Compact"/>
      </w:pPr>
      <w:r>
        <w:rPr>
          <w:bCs/>
          <w:b/>
        </w:rPr>
        <w:t xml:space="preserve">Energy Efficiency in Use Phase:</w:t>
      </w:r>
      <w:r>
        <w:t xml:space="preserve"> </w:t>
      </w:r>
      <w:r>
        <w:t xml:space="preserve">Explore design improvements for \'fnzxovdfxd\' to reduce energy consumption during its use. Educate consumers on efficient product usage.</w:t>
      </w:r>
    </w:p>
    <w:p>
      <w:pPr>
        <w:numPr>
          <w:ilvl w:val="0"/>
          <w:numId w:val="1012"/>
        </w:numPr>
        <w:pStyle w:val="Compact"/>
      </w:pPr>
      <w:r>
        <w:rPr>
          <w:bCs/>
          <w:b/>
        </w:rPr>
        <w:t xml:space="preserve">Renewable Energy Expansion:</w:t>
      </w:r>
      <w:r>
        <w:t xml:space="preserve"> </w:t>
      </w:r>
      <w:r>
        <w:t xml:space="preserve">Further increase the percentage of renewable energy used in manufacturing operations to reduce Scope 2 emissions.</w:t>
      </w:r>
    </w:p>
    <w:p>
      <w:pPr>
        <w:numPr>
          <w:ilvl w:val="0"/>
          <w:numId w:val="1012"/>
        </w:numPr>
        <w:pStyle w:val="Compact"/>
      </w:pPr>
      <w:r>
        <w:rPr>
          <w:bCs/>
          <w:b/>
        </w:rPr>
        <w:t xml:space="preserve">Logistics Optimization:</w:t>
      </w:r>
      <w:r>
        <w:t xml:space="preserve"> </w:t>
      </w:r>
      <w:r>
        <w:t xml:space="preserve">Continuously evaluate transportation modes and routes to minimize distances and utilize lower-emission freight options where feasible. Consider optimizing packaging to improve freight efficiency.</w:t>
      </w:r>
    </w:p>
    <w:p>
      <w:pPr>
        <w:numPr>
          <w:ilvl w:val="0"/>
          <w:numId w:val="1012"/>
        </w:numPr>
        <w:pStyle w:val="Compact"/>
      </w:pPr>
      <w:r>
        <w:rPr>
          <w:bCs/>
          <w:b/>
        </w:rPr>
        <w:t xml:space="preserve">Circular Economy Enhancement:</w:t>
      </w:r>
      <w:r>
        <w:t xml:space="preserve"> </w:t>
      </w:r>
      <w:r>
        <w:t xml:space="preserve">Strengthen existing circular/take-back programs and explore innovative recycling or reuse solutions to maximize material recovery and further increase EoL benefits.</w:t>
      </w:r>
    </w:p>
    <w:p>
      <w:pPr>
        <w:pStyle w:val="FirstParagraph"/>
      </w:pPr>
      <w:r>
        <w:t xml:space="preserve">By focusing on these areas, \'tofenjwvvs\' can effectively reduce the environmental footprint of \'fnzxovdfxd\' and demonstrate leadership in sustainability.</w:t>
      </w:r>
    </w:p>
    <w:p>
      <w:r>
        <w:pict>
          <v:rect style="width:0;height:1.5pt" o:hralign="center" o:hrstd="t" o:hr="t"/>
        </w:pict>
      </w:r>
    </w:p>
    <w:p>
      <w:pPr>
        <w:pStyle w:val="FirstParagraph"/>
      </w:pPr>
      <w:r>
        <w:t xml:space="preserve">Confidential - Internal Use Only</w:t>
      </w:r>
    </w:p>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fnzxovdfxd</dc:title>
  <dc:creator/>
  <dc:description>Detailed Product Carbon Footprint (PCF) analysis report for fnzxovdfxd, specializing in GHG Protocol for tofenjwvvs by Senior Sustainability Consultant mjxvoxgxur.</dc:description>
  <dc:language>en</dc:language>
  <cp:keywords/>
  <dcterms:created xsi:type="dcterms:W3CDTF">2026-07-15T08:17:59Z</dcterms:created>
  <dcterms:modified xsi:type="dcterms:W3CDTF">2026-07-15T08:17:59Z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