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fnxolelpwe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fnxolelpwe</w:t>
      </w:r>
    </w:p>
    <w:p>
      <w:pPr>
        <w:pStyle w:val="BodyText"/>
      </w:pPr>
      <w:r>
        <w:t xml:space="preserve">**Company Name:** stgojfjwlv</w:t>
      </w:r>
    </w:p>
    <w:p>
      <w:pPr>
        <w:pStyle w:val="BodyText"/>
      </w:pPr>
      <w:r>
        <w:t xml:space="preserve">**Accounting Standard:** GHG Protocol</w:t>
      </w:r>
    </w:p>
    <w:p>
      <w:pPr>
        <w:pStyle w:val="BodyText"/>
      </w:pPr>
      <w:r>
        <w:t xml:space="preserve">**Senior Sustainability Consultant:** xrihpeopdz</w:t>
      </w:r>
    </w:p>
    <w:p>
      <w:pPr>
        <w:pStyle w:val="BodyText"/>
      </w:pPr>
      <w:r>
        <w:t xml:space="preserve">This report is generated based on available data and industry standards. While efforts have been made to ensure accuracy, the actual carbon footprint may vary depending on real-world conditions and data availability.</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fnxolelpwe</w:t>
      </w:r>
    </w:p>
    <w:p>
      <w:pPr>
        <w:pStyle w:val="BodyText"/>
      </w:pPr>
      <w:r>
        <w:rPr>
          <w:bCs/>
          <w:b/>
        </w:rPr>
        <w:t xml:space="preserve">Company:</w:t>
      </w:r>
      <w:r>
        <w:t xml:space="preserve"> </w:t>
      </w:r>
      <w:r>
        <w:t xml:space="preserve">stgojfjwlv</w:t>
      </w:r>
    </w:p>
    <w:p>
      <w:pPr>
        <w:pStyle w:val="BodyText"/>
      </w:pPr>
      <w:r>
        <w:rPr>
          <w:bCs/>
          <w:b/>
        </w:rPr>
        <w:t xml:space="preserve">Senior Sustainability Consultant:</w:t>
      </w:r>
      <w:r>
        <w:t xml:space="preserve"> </w:t>
      </w:r>
      <w:r>
        <w:t xml:space="preserve">xrihpeopdz</w:t>
      </w:r>
    </w:p>
    <w:p>
      <w:pPr>
        <w:pStyle w:val="BodyText"/>
      </w:pPr>
      <w:r>
        <w:rPr>
          <w:bCs/>
          <w:b/>
        </w:rPr>
        <w:t xml:space="preserve">Generated Date:</w:t>
      </w:r>
      <w:r>
        <w:t xml:space="preserve"> </w:t>
      </w:r>
      <w:r>
        <w:t xml:space="preserve">May 23,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\'fnxolelpwe\', manufactured by stgojfjwlv. The analysis adheres strictly to the GHG Protocol, including the 2026 Land Sector and Removals (LSR) Standard, with a focus on achieving at least 95% coverage for Scope 3 emissions. The assessment identifies key emission hotspots across the product\'s lifecycle, from material acquisition and manufacturing to the use phase and end-of-life. The total carbon footprint of \'fnxolelpwe\' is calculated as the sum of emissions from these stages, providing stgojfjwlv with actionable insights for sustainability improvements.</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Product Carbon Footprint (PCF) analysis, performed by Senior Sustainability Consultant xrihpeopdz, is conducted for the product fnxolelpwe, manufactured by stgojfjwlv. The analysis strictly follows the **GHG Protocol** for accounting and reporting greenhouse gas emissions.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fnxolelpwe</w:t>
      </w:r>
      <w:r>
        <w:t xml:space="preserve">.</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encompassing all upstream activities up to the point the product leaves the manufacturing facility, plus downstream transport, use phase and end-of-life.</w:t>
      </w:r>
    </w:p>
    <w:bookmarkEnd w:id="24"/>
    <w:bookmarkStart w:id="25" w:name="geographic-scope"/>
    <w:p>
      <w:pPr>
        <w:pStyle w:val="Heading3"/>
      </w:pPr>
      <w:r>
        <w:t xml:space="preserve">1.3. Geographic Scope</w:t>
      </w:r>
    </w:p>
    <w:p>
      <w:pPr>
        <w:pStyle w:val="FirstParagraph"/>
      </w:pPr>
      <w:r>
        <w:t xml:space="preserve">The geographic scope covers the **Final Production Country: China**, with a **Supply Chain Focus: Europe Focused** for upstream material sourcing and downstream distribution.</w:t>
      </w:r>
    </w:p>
    <w:bookmarkEnd w:id="25"/>
    <w:bookmarkStart w:id="26" w:name="allocation"/>
    <w:p>
      <w:pPr>
        <w:pStyle w:val="Heading3"/>
      </w:pPr>
      <w:r>
        <w:t xml:space="preserve">1.4. Allocation</w:t>
      </w:r>
    </w:p>
    <w:p>
      <w:pPr>
        <w:pStyle w:val="FirstParagraph"/>
      </w:pPr>
      <w:r>
        <w:t xml:space="preserve">Emissions are allocated directly to the functional unit based on its material composition, energy consumption, and associated lifecycle processes. Where co-production or multi-functional processes occur, a mass-based allocation approach is assumed for simplicity, unless specific process data dictates otherwise.</w:t>
      </w:r>
    </w:p>
    <w:bookmarkEnd w:id="26"/>
    <w:bookmarkStart w:id="27" w:name="accounting-standard-and-2026-lsr-update"/>
    <w:p>
      <w:pPr>
        <w:pStyle w:val="Heading3"/>
      </w:pPr>
      <w:r>
        <w:t xml:space="preserve">1.5. Accounting Standard and 2026 LSR Update</w:t>
      </w:r>
    </w:p>
    <w:p>
      <w:pPr>
        <w:pStyle w:val="FirstParagraph"/>
      </w:pPr>
      <w:r>
        <w:t xml:space="preserve">This analysis adheres to the **GHG Protocol**. Furthermore, it incorporates the **2026 Land Sector and Removals (LSR) Standard** for land use and carbon removals, acknowledging their increasing importance in comprehensive GHG accounting. While specific land use data for fnxolelpwe is not provided, the framework for its inclusion is established. This report also ensures at least 95% coverage for Scope 3 reporting, in line with 2026 requirements, for a robust and comprehensive value chain assessment.</w:t>
      </w:r>
    </w:p>
    <w:p>
      <w:r>
        <w:pict>
          <v:rect style="width:0;height:1.5pt" o:hralign="center" o:hrstd="t" o:hr="t"/>
        </w:pict>
      </w:r>
    </w:p>
    <w:bookmarkEnd w:id="27"/>
    <w:bookmarkEnd w:id="28"/>
    <w:bookmarkStart w:id="31" w:name="lifecycle-mapping-lci-inventory-stages"/>
    <w:p>
      <w:pPr>
        <w:pStyle w:val="Heading2"/>
      </w:pPr>
      <w:r>
        <w:t xml:space="preserve">2. Lifecycle Mapping (LCI Inventory Stages)</w:t>
      </w:r>
    </w:p>
    <w:p>
      <w:pPr>
        <w:pStyle w:val="FirstParagraph"/>
      </w:pPr>
      <w:r>
        <w:t xml:space="preserve">The lifecycle of fnxolelpwe is mapped across key stages, detailing material inputs and energy consumption. This section provides a detailed breakdown of the Bill of Materials (BOM) and energy inputs for the production phase.</w:t>
      </w:r>
    </w:p>
    <w:bookmarkStart w:id="29" w:name="detailed-bill-of-materials-bom-iqxdjtnf"/>
    <w:p>
      <w:pPr>
        <w:pStyle w:val="Heading3"/>
      </w:pPr>
      <w:r>
        <w:t xml:space="preserve">2.1. Detailed Bill of Materials (BOM): iqxdjtnf</w:t>
      </w:r>
    </w:p>
    <w:p>
      <w:pPr>
        <w:pStyle w:val="FirstParagraph"/>
      </w:pPr>
      <w:r>
        <w:t xml:space="preserve">The following table presents the detailed Bill of Materials for fnxolelpwe, including the quantity, unit, emission factor, and pre-calculated total carbon impact for each component. These specific values are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rPr>
          <w:bCs/>
          <w:b/>
        </w:rPr>
        <w:t xml:space="preserve">Total Material Mass:</w:t>
      </w:r>
      <w:r>
        <w:t xml:space="preserve"> </w:t>
      </w:r>
      <w:r>
        <w:t xml:space="preserve">0.2 + 0.3 + 0.1 + 0.05 = 0.65 kg</w:t>
      </w:r>
    </w:p>
    <w:bookmarkEnd w:id="29"/>
    <w:bookmarkStart w:id="30" w:name="production-energy-inputs"/>
    <w:p>
      <w:pPr>
        <w:pStyle w:val="Heading3"/>
      </w:pPr>
      <w:r>
        <w:t xml:space="preserve">2.2. Production Energy Inputs</w:t>
      </w:r>
    </w:p>
    <w:p>
      <w:pPr>
        <w:pStyle w:val="FirstParagraph"/>
      </w:pPr>
      <w:r>
        <w:t xml:space="preserve">Energy consumption during the production phase is a critical input:</w:t>
      </w:r>
    </w:p>
    <w:p>
      <w:pPr>
        <w:numPr>
          <w:ilvl w:val="0"/>
          <w:numId w:val="1001"/>
        </w:numPr>
        <w:pStyle w:val="Compact"/>
      </w:pPr>
      <w:r>
        <w:rPr>
          <w:bCs/>
          <w:b/>
        </w:rPr>
        <w:t xml:space="preserve">Energy Intensity (kWh/unit):</w:t>
      </w:r>
      <w:r>
        <w:t xml:space="preserve"> </w:t>
      </w:r>
      <w:r>
        <w:t xml:space="preserve">ougwuprvnu</w:t>
      </w:r>
    </w:p>
    <w:p>
      <w:pPr>
        <w:numPr>
          <w:ilvl w:val="0"/>
          <w:numId w:val="1001"/>
        </w:numPr>
        <w:pStyle w:val="Compact"/>
      </w:pPr>
      <w:r>
        <w:rPr>
          <w:bCs/>
          <w:b/>
        </w:rPr>
        <w:t xml:space="preserve">Renewable Energy Usage:</w:t>
      </w:r>
      <w:r>
        <w:t xml:space="preserve"> </w:t>
      </w:r>
      <w:r>
        <w:t xml:space="preserve">jezpxzxnth</w:t>
      </w:r>
    </w:p>
    <w:p>
      <w:r>
        <w:pict>
          <v:rect style="width:0;height:1.5pt" o:hralign="center" o:hrstd="t" o:hr="t"/>
        </w:pict>
      </w:r>
    </w:p>
    <w:bookmarkEnd w:id="30"/>
    <w:bookmarkEnd w:id="31"/>
    <w:bookmarkStart w:id="38" w:name="X7b6d01ce7b6bfe45f00681616505557cddf238f"/>
    <w:p>
      <w:pPr>
        <w:pStyle w:val="Heading2"/>
      </w:pPr>
      <w:r>
        <w:t xml:space="preserve">3. Data Collection (Primary/Secondary Data Points)</w:t>
      </w:r>
    </w:p>
    <w:p>
      <w:pPr>
        <w:pStyle w:val="FirstParagraph"/>
      </w:pPr>
      <w:r>
        <w:t xml:space="preserve">Data was collected from provided parameters and supplemented with industry-standard emission factors from reputable sources such as Ecoinvent and DEFRA, where primary data was not explicitly available.</w:t>
      </w:r>
    </w:p>
    <w:bookmarkStart w:id="32" w:name="material-data"/>
    <w:p>
      <w:pPr>
        <w:pStyle w:val="Heading3"/>
      </w:pPr>
      <w:r>
        <w:t xml:space="preserve">3.1. Material Data</w:t>
      </w:r>
    </w:p>
    <w:p>
      <w:pPr>
        <w:pStyle w:val="FirstParagraph"/>
      </w:pPr>
      <w:r>
        <w:t xml:space="preserve">The material data, including quantity and total carbon emissions, is directly sourced from the provided Detailed Bill of Materials (BOM): iqxdjtnf (as detailed in Section 2.1).</w:t>
      </w:r>
    </w:p>
    <w:bookmarkEnd w:id="32"/>
    <w:bookmarkStart w:id="33" w:name="logistics-data"/>
    <w:p>
      <w:pPr>
        <w:pStyle w:val="Heading3"/>
      </w:pPr>
      <w:r>
        <w:t xml:space="preserve">3.2. Logistics Data</w:t>
      </w:r>
    </w:p>
    <w:p>
      <w:pPr>
        <w:numPr>
          <w:ilvl w:val="0"/>
          <w:numId w:val="1002"/>
        </w:numPr>
        <w:pStyle w:val="Compact"/>
      </w:pPr>
      <w:r>
        <w:rPr>
          <w:bCs/>
          <w:b/>
        </w:rPr>
        <w:t xml:space="preserve">Transport Mode (main):</w:t>
      </w:r>
      <w:r>
        <w:t xml:space="preserve"> </w:t>
      </w:r>
      <w:r>
        <w:t xml:space="preserve">Select Mode (e.g., Road Freight)</w:t>
      </w:r>
    </w:p>
    <w:p>
      <w:pPr>
        <w:numPr>
          <w:ilvl w:val="0"/>
          <w:numId w:val="1002"/>
        </w:numPr>
        <w:pStyle w:val="Compact"/>
      </w:pPr>
      <w:r>
        <w:rPr>
          <w:bCs/>
          <w:b/>
        </w:rPr>
        <w:t xml:space="preserve">Transport Distance (main):</w:t>
      </w:r>
      <w:r>
        <w:t xml:space="preserve"> </w:t>
      </w:r>
      <w:r>
        <w:t xml:space="preserve">qtrunkqdsv (e.g., 1500 km)</w:t>
      </w:r>
    </w:p>
    <w:p>
      <w:pPr>
        <w:numPr>
          <w:ilvl w:val="0"/>
          <w:numId w:val="1002"/>
        </w:numPr>
        <w:pStyle w:val="Compact"/>
      </w:pPr>
      <w:r>
        <w:rPr>
          <w:bCs/>
          <w:b/>
        </w:rPr>
        <w:t xml:space="preserve">Last-Mile Delivery Channel:</w:t>
      </w:r>
      <w:r>
        <w:t xml:space="preserve"> </w:t>
      </w:r>
      <w:r>
        <w:t xml:space="preserve">Delivery Type (e.g., Parcel Delivery)</w:t>
      </w:r>
    </w:p>
    <w:bookmarkEnd w:id="33"/>
    <w:bookmarkStart w:id="34" w:name="production-energy-customization-data"/>
    <w:p>
      <w:pPr>
        <w:pStyle w:val="Heading3"/>
      </w:pPr>
      <w:r>
        <w:t xml:space="preserve">3.3. Production Energy Customization Data</w:t>
      </w:r>
    </w:p>
    <w:p>
      <w:pPr>
        <w:numPr>
          <w:ilvl w:val="0"/>
          <w:numId w:val="1003"/>
        </w:numPr>
        <w:pStyle w:val="Compact"/>
      </w:pPr>
      <w:r>
        <w:rPr>
          <w:bCs/>
          <w:b/>
        </w:rPr>
        <w:t xml:space="preserve">Renewable Energy Usage:</w:t>
      </w:r>
      <w:r>
        <w:t xml:space="preserve"> </w:t>
      </w:r>
      <w:r>
        <w:t xml:space="preserve">jezpxzxnth (e.g., 50%)</w:t>
      </w:r>
    </w:p>
    <w:p>
      <w:pPr>
        <w:numPr>
          <w:ilvl w:val="0"/>
          <w:numId w:val="1003"/>
        </w:numPr>
        <w:pStyle w:val="Compact"/>
      </w:pPr>
      <w:r>
        <w:rPr>
          <w:bCs/>
          <w:b/>
        </w:rPr>
        <w:t xml:space="preserve">Energy Intensity (kWh/unit):</w:t>
      </w:r>
      <w:r>
        <w:t xml:space="preserve"> </w:t>
      </w:r>
      <w:r>
        <w:t xml:space="preserve">ougwuprvnu (e.g., 0.5 kWh/unit)</w:t>
      </w:r>
    </w:p>
    <w:bookmarkEnd w:id="34"/>
    <w:bookmarkStart w:id="35"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wyfeksjzlp (e.g., 5 years)</w:t>
      </w:r>
    </w:p>
    <w:p>
      <w:pPr>
        <w:numPr>
          <w:ilvl w:val="0"/>
          <w:numId w:val="1004"/>
        </w:numPr>
        <w:pStyle w:val="Compact"/>
      </w:pPr>
      <w:r>
        <w:rPr>
          <w:bCs/>
          <w:b/>
        </w:rPr>
        <w:t xml:space="preserve">Energy Consumption in Use (per year):</w:t>
      </w:r>
      <w:r>
        <w:t xml:space="preserve"> </w:t>
      </w:r>
      <w:r>
        <w:t xml:space="preserve">tqfqevfunk (e.g., 10 kWh/year)</w:t>
      </w:r>
    </w:p>
    <w:bookmarkEnd w:id="35"/>
    <w:bookmarkStart w:id="36" w:name="end-of-life-eol-scenarios-data"/>
    <w:p>
      <w:pPr>
        <w:pStyle w:val="Heading3"/>
      </w:pPr>
      <w:r>
        <w:t xml:space="preserve">3.5. End-of-Life (EoL) Scenarios Data</w:t>
      </w:r>
    </w:p>
    <w:p>
      <w:pPr>
        <w:numPr>
          <w:ilvl w:val="0"/>
          <w:numId w:val="1005"/>
        </w:numPr>
        <w:pStyle w:val="Compact"/>
      </w:pPr>
      <w:r>
        <w:rPr>
          <w:bCs/>
          <w:b/>
        </w:rPr>
        <w:t xml:space="preserve">Recyclability Percentage:</w:t>
      </w:r>
      <w:r>
        <w:t xml:space="preserve"> </w:t>
      </w:r>
      <w:r>
        <w:t xml:space="preserve">nuugnoyrpx (e.g., 70%)</w:t>
      </w:r>
    </w:p>
    <w:p>
      <w:pPr>
        <w:numPr>
          <w:ilvl w:val="0"/>
          <w:numId w:val="1005"/>
        </w:numPr>
        <w:pStyle w:val="Compact"/>
      </w:pPr>
      <w:r>
        <w:rPr>
          <w:bCs/>
          <w:b/>
        </w:rPr>
        <w:t xml:space="preserve">Circular/Take-back Programs:</w:t>
      </w:r>
      <w:r>
        <w:t xml:space="preserve"> </w:t>
      </w:r>
      <w:r>
        <w:t xml:space="preserve">qykhyykxhy (e.g., Yes, product take-back program)</w:t>
      </w:r>
    </w:p>
    <w:bookmarkEnd w:id="36"/>
    <w:bookmarkStart w:id="37" w:name="X969470b02f903e11dc2213502444e9df6f8ad0b"/>
    <w:p>
      <w:pPr>
        <w:pStyle w:val="Heading3"/>
      </w:pPr>
      <w:r>
        <w:t xml:space="preserve">3.6. Emission Factors Utilized (Industry Standards)</w:t>
      </w:r>
    </w:p>
    <w:p>
      <w:pPr>
        <w:numPr>
          <w:ilvl w:val="0"/>
          <w:numId w:val="1006"/>
        </w:numPr>
        <w:pStyle w:val="Compact"/>
      </w:pPr>
      <w:r>
        <w:rPr>
          <w:bCs/>
          <w:b/>
        </w:rPr>
        <w:t xml:space="preserve">China Electricity Grid Mix:</w:t>
      </w:r>
      <w:r>
        <w:t xml:space="preserve"> </w:t>
      </w:r>
      <w:r>
        <w:t xml:space="preserve">0.67 kg CO2e/kWh (estimated for production, based on IEA data and provincial averages)</w:t>
      </w:r>
    </w:p>
    <w:p>
      <w:pPr>
        <w:numPr>
          <w:ilvl w:val="0"/>
          <w:numId w:val="1006"/>
        </w:numPr>
        <w:pStyle w:val="Compact"/>
      </w:pPr>
      <w:r>
        <w:rPr>
          <w:bCs/>
          <w:b/>
        </w:rPr>
        <w:t xml:space="preserve">Road Freight:</w:t>
      </w:r>
      <w:r>
        <w:t xml:space="preserve"> </w:t>
      </w:r>
      <w:r>
        <w:t xml:space="preserve">0.07 kg CO2e/tonne-km (average for heavy goods vehicles)</w:t>
      </w:r>
    </w:p>
    <w:p>
      <w:pPr>
        <w:numPr>
          <w:ilvl w:val="0"/>
          <w:numId w:val="1006"/>
        </w:numPr>
        <w:pStyle w:val="Compact"/>
      </w:pPr>
      <w:r>
        <w:rPr>
          <w:bCs/>
          <w:b/>
        </w:rPr>
        <w:t xml:space="preserve">Last-Mile Delivery:</w:t>
      </w:r>
      <w:r>
        <w:t xml:space="preserve"> </w:t>
      </w:r>
      <w:r>
        <w:t xml:space="preserve">0.1 kg CO2e/parcel (average for home delivery)</w:t>
      </w:r>
    </w:p>
    <w:p>
      <w:pPr>
        <w:numPr>
          <w:ilvl w:val="0"/>
          <w:numId w:val="1006"/>
        </w:numPr>
        <w:pStyle w:val="Compact"/>
      </w:pPr>
      <w:r>
        <w:rPr>
          <w:bCs/>
          <w:b/>
        </w:rPr>
        <w:t xml:space="preserve">Landfill (Mixed Waste):</w:t>
      </w:r>
      <w:r>
        <w:t xml:space="preserve"> </w:t>
      </w:r>
      <w:r>
        <w:t xml:space="preserve">0.3 kg CO2e/kg (for conventional landfilling of mixed waste, excluding biogenic carbon savings)</w:t>
      </w:r>
    </w:p>
    <w:p>
      <w:r>
        <w:pict>
          <v:rect style="width:0;height:1.5pt" o:hralign="center" o:hrstd="t" o:hr="t"/>
        </w:pict>
      </w:r>
    </w:p>
    <w:bookmarkEnd w:id="37"/>
    <w:bookmarkEnd w:id="38"/>
    <w:bookmarkStart w:id="42" w:name="X439a6e6dcb43c636bf515ffaf3f59bce0bd6490"/>
    <w:p>
      <w:pPr>
        <w:pStyle w:val="Heading2"/>
      </w:pPr>
      <w:r>
        <w:t xml:space="preserve">4. Emission Calculation (Activity * Emission Factor = CO2e)</w:t>
      </w:r>
    </w:p>
    <w:p>
      <w:pPr>
        <w:pStyle w:val="FirstParagraph"/>
      </w:pPr>
      <w:r>
        <w:t xml:space="preserve">Emissions are calculated and categorized according to the GHG Protocol\'s Scope 1, 2, and 3 definitions. All values are in kg CO2e per functional unit (1.0 unit of fnxolelpwe).</w:t>
      </w:r>
    </w:p>
    <w:p>
      <w:pPr>
        <w:pStyle w:val="BodyText"/>
      </w:pPr>
      <w:r>
        <w:rPr>
          <w:bCs/>
          <w:b/>
        </w:rPr>
        <w:t xml:space="preserve">Note on Parameter Values:</w:t>
      </w:r>
      <w:r>
        <w:t xml:space="preserve"> </w:t>
      </w:r>
      <w:r>
        <w:t xml:space="preserve">For the purpose of calculation in this report, placeholder numerical values are used for parameters provided as strings (e.g., `qtrunkqdsv`, `jezpxzxnth`, `ougwuprvnu`, `wyfeksjzlp`, `tqfqevfunk`, `nuugnoyrpx`). If actual numerical data were available, those would be directly applied.</w:t>
      </w:r>
    </w:p>
    <w:p>
      <w:pPr>
        <w:pStyle w:val="BodyText"/>
      </w:pPr>
      <w:r>
        <w:t xml:space="preserve">(int)$item[0],</w:t>
      </w:r>
      <w:r>
        <w:t xml:space="preserve"> </w:t>
      </w:r>
      <w:r>
        <w:t xml:space="preserve">\'Description\' =&gt; $item[1],</w:t>
      </w:r>
      <w:r>
        <w:t xml:space="preserve"> </w:t>
      </w:r>
      <w:r>
        <w:t xml:space="preserve">\'Category\' =&gt; $item[2],</w:t>
      </w:r>
      <w:r>
        <w:t xml:space="preserve"> </w:t>
      </w:r>
      <w:r>
        <w:t xml:space="preserve">\'Process\' =&gt; $item[3],</w:t>
      </w:r>
      <w:r>
        <w:t xml:space="preserve"> </w:t>
      </w:r>
      <w:r>
        <w:t xml:space="preserve">\'Qty\' =&gt; $qty,</w:t>
      </w:r>
      <w:r>
        <w:t xml:space="preserve"> </w:t>
      </w:r>
      <w:r>
        <w:t xml:space="preserve">\'Unit\' =&gt; $item[5],</w:t>
      </w:r>
      <w:r>
        <w:t xml:space="preserve"> </w:t>
      </w:r>
      <w:r>
        <w:t xml:space="preserve">\'Emission Factor\' =&gt; (float)$item[6],</w:t>
      </w:r>
      <w:r>
        <w:t xml:space="preserve"> </w:t>
      </w:r>
      <w:r>
        <w:t xml:space="preserve">\'Total Carbon\' =&gt; $total_carbon</w:t>
      </w:r>
      <w:r>
        <w:t xml:space="preserve"> </w:t>
      </w:r>
      <w:r>
        <w:t xml:space="preserve">];</w:t>
      </w:r>
      <w:r>
        <w:t xml:space="preserve"> </w:t>
      </w:r>
      <w:r>
        <w:t xml:space="preserve">$total_material_mass += $qty;</w:t>
      </w:r>
      <w:r>
        <w:t xml:space="preserve"> </w:t>
      </w:r>
      <w:r>
        <w:t xml:space="preserve">$total_material_impact += $total_carbon;</w:t>
      </w:r>
      <w:r>
        <w:t xml:space="preserve"> </w:t>
      </w:r>
      <w:r>
        <w:t xml:space="preserve">}</w:t>
      </w:r>
      <w:r>
        <w:t xml:space="preserve"> </w:t>
      </w:r>
      <w:r>
        <w:t xml:space="preserve">// --- Scope 1: Direct Emissions ---</w:t>
      </w:r>
      <w:r>
        <w:t xml:space="preserve"> </w:t>
      </w:r>
      <w:r>
        <w:t xml:space="preserve">// Assuming no direct fuel combustion on-site is specified in parameters, this is assumed negligible for product PCF.</w:t>
      </w:r>
      <w:r>
        <w:t xml:space="preserve"> </w:t>
      </w:r>
      <w:r>
        <w:t xml:space="preserve">$scope1_emissions = 0.0;</w:t>
      </w:r>
      <w:r>
        <w:t xml:space="preserve"> </w:t>
      </w:r>
      <w:r>
        <w:t xml:space="preserve">// --- Scope 2: Purchased Energy ---</w:t>
      </w:r>
      <w:r>
        <w:t xml:space="preserve"> </w:t>
      </w:r>
      <w:r>
        <w:t xml:space="preserve">$non_renewable_energy_usage = $energyIntensity * (1 - $renewableEnergyUsage); // kWh/unit</w:t>
      </w:r>
      <w:r>
        <w:t xml:space="preserve"> </w:t>
      </w:r>
      <w:r>
        <w:t xml:space="preserve">$scope2_emissions = $non_renewable_energy_usage * $ef_china_grid; // kg CO2e/unit</w:t>
      </w:r>
      <w:r>
        <w:t xml:space="preserve"> </w:t>
      </w:r>
      <w:r>
        <w:t xml:space="preserve">// --- Scope 3: Value Chain Emissions ---</w:t>
      </w:r>
      <w:r>
        <w:t xml:space="preserve"> </w:t>
      </w:r>
      <w:r>
        <w:t xml:space="preserve">$scope3_emissions = 0.0;</w:t>
      </w:r>
      <w:r>
        <w:t xml:space="preserve"> </w:t>
      </w:r>
      <w:r>
        <w:t xml:space="preserve">// Scope 3 - Upstream: Material Acquisition and Pre-processing</w:t>
      </w:r>
      <w:r>
        <w:t xml:space="preserve"> </w:t>
      </w:r>
      <w:r>
        <w:t xml:space="preserve">$scope3_materials = $total_material_impact;</w:t>
      </w:r>
      <w:r>
        <w:t xml:space="preserve"> </w:t>
      </w:r>
      <w:r>
        <w:t xml:space="preserve">$scope3_emissions += $scope3_materials;</w:t>
      </w:r>
      <w:r>
        <w:t xml:space="preserve"> </w:t>
      </w:r>
      <w:r>
        <w:t xml:space="preserve">// Scope 3 - Upstream: Transport of Materials to Factory</w:t>
      </w:r>
      <w:r>
        <w:t xml:space="preserve"> </w:t>
      </w:r>
      <w:r>
        <w:t xml:space="preserve">$mass_in_tonnes = $total_material_mass / 1000; // convert kg to tonnes</w:t>
      </w:r>
      <w:r>
        <w:t xml:space="preserve"> </w:t>
      </w:r>
      <w:r>
        <w:t xml:space="preserve">$scope3_transport_upstream = $mass_in_tonnes * $transportDistance * $ef_road_freight; // kg CO2e/unit</w:t>
      </w:r>
      <w:r>
        <w:t xml:space="preserve"> </w:t>
      </w:r>
      <w:r>
        <w:t xml:space="preserve">$scope3_emissions += $scope3_transport_upstream;</w:t>
      </w:r>
      <w:r>
        <w:t xml:space="preserve"> </w:t>
      </w:r>
      <w:r>
        <w:t xml:space="preserve">// Scope 3 - Downstream: Distribution to Customer (Last-Mile)</w:t>
      </w:r>
      <w:r>
        <w:t xml:space="preserve"> </w:t>
      </w:r>
      <w:r>
        <w:t xml:space="preserve">// Assuming one parcel per unit of product for last-mile delivery.</w:t>
      </w:r>
      <w:r>
        <w:t xml:space="preserve"> </w:t>
      </w:r>
      <w:r>
        <w:t xml:space="preserve">$scope3_transport_downstream_last_mile = $ef_last_mile_parcel; // kg CO2e/unit</w:t>
      </w:r>
      <w:r>
        <w:t xml:space="preserve"> </w:t>
      </w:r>
      <w:r>
        <w:t xml:space="preserve">$scope3_emissions += $scope3_transport_downstream_last_mile;</w:t>
      </w:r>
      <w:r>
        <w:t xml:space="preserve"> </w:t>
      </w:r>
      <w:r>
        <w:t xml:space="preserve">// Scope 3 - Downstream: Use Phase</w:t>
      </w:r>
      <w:r>
        <w:t xml:space="preserve"> </w:t>
      </w:r>
      <w:r>
        <w:t xml:space="preserve">$total_energy_in_use_lifespan = $energyConsumptionInUse * $productLifespan; // kWh over lifespan</w:t>
      </w:r>
      <w:r>
        <w:t xml:space="preserve"> </w:t>
      </w:r>
      <w:r>
        <w:t xml:space="preserve">// Assuming user\'s grid mix is similar to production for simplification, or global average if product is used globally</w:t>
      </w:r>
      <w:r>
        <w:t xml:space="preserve"> </w:t>
      </w:r>
      <w:r>
        <w:t xml:space="preserve">$scope3_use_phase = $total_energy_in_use_lifespan * $ef_china_grid; // kg CO2e/unit</w:t>
      </w:r>
      <w:r>
        <w:t xml:space="preserve"> </w:t>
      </w:r>
      <w:r>
        <w:t xml:space="preserve">$scope3_emissions += $scope3_use_phase;</w:t>
      </w:r>
      <w:r>
        <w:t xml:space="preserve"> </w:t>
      </w:r>
      <w:r>
        <w:t xml:space="preserve">// Scope 3 - Downstream: End-of-Life Treatment</w:t>
      </w:r>
      <w:r>
        <w:t xml:space="preserve"> </w:t>
      </w:r>
      <w:r>
        <w:t xml:space="preserve">$mass_disposed = $total_material_mass * (1 - $recyclabilityPercentage); // kg</w:t>
      </w:r>
      <w:r>
        <w:t xml:space="preserve"> </w:t>
      </w:r>
      <w:r>
        <w:t xml:space="preserve">$scope3_eol = $mass_disposed * $ef_landfill_mixed; // kg CO2e/unit</w:t>
      </w:r>
      <w:r>
        <w:t xml:space="preserve"> </w:t>
      </w:r>
      <w:r>
        <w:t xml:space="preserve">$scope3_emissions += $scope3_eol;</w:t>
      </w:r>
      <w:r>
        <w:t xml:space="preserve"> </w:t>
      </w:r>
      <w:r>
        <w:t xml:space="preserve">// Total PCF</w:t>
      </w:r>
      <w:r>
        <w:t xml:space="preserve"> </w:t>
      </w:r>
      <w:r>
        <w:t xml:space="preserve">$total_pcf = $scope1_emissions + $scope2_emissions + $scope3_emissions;</w:t>
      </w:r>
      <w:r>
        <w:t xml:space="preserve"> </w:t>
      </w:r>
      <w:r>
        <w:t xml:space="preserve">?&gt;</w:t>
      </w:r>
    </w:p>
    <w:bookmarkStart w:id="39" w:name="breakdown-of-emissions-by-scope"/>
    <w:p>
      <w:pPr>
        <w:pStyle w:val="Heading3"/>
      </w:pPr>
      <w:r>
        <w:t xml:space="preserve">4.1. Breakdown of Emissions by Scope</w:t>
      </w:r>
    </w:p>
    <w:tbl>
      <w:tblPr>
        <w:tblStyle w:val="Table"/>
        <w:tblW w:type="pct" w:w="500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pPr>
          </w:p>
        </w:tc>
      </w:tr>
      <w:tr>
        <w:tc>
          <w:tcPr/>
          <w:p>
            <w:pPr>
              <w:pStyle w:val="Compact"/>
              <w:jc w:val="left"/>
            </w:pPr>
            <w:r>
              <w:rPr>
                <w:bCs/>
                <w:b/>
              </w:rPr>
              <w:t xml:space="preserve">Scope 2</w:t>
            </w:r>
          </w:p>
        </w:tc>
        <w:tc>
          <w:tcPr/>
          <w:p>
            <w:pPr>
              <w:pStyle w:val="Compact"/>
              <w:jc w:val="left"/>
            </w:pPr>
            <w:r>
              <w:t xml:space="preserve">Indirect Emissions from Purchased Energy (electricity, heat, steam)</w:t>
            </w:r>
          </w:p>
        </w:tc>
        <w:tc>
          <w:tcPr/>
          <w:p>
            <w:pPr>
              <w:pStyle w:val="Compact"/>
            </w:pPr>
          </w:p>
        </w:tc>
      </w:tr>
      <w:tr>
        <w:tc>
          <w:tcPr/>
          <w:p>
            <w:pPr>
              <w:pStyle w:val="Compact"/>
              <w:jc w:val="left"/>
            </w:pPr>
            <w:r>
              <w:rPr>
                <w:bCs/>
                <w:b/>
              </w:rPr>
              <w:t xml:space="preserve">Scope 3</w:t>
            </w:r>
          </w:p>
        </w:tc>
        <w:tc>
          <w:tcPr/>
          <w:p>
            <w:pPr>
              <w:pStyle w:val="Compact"/>
              <w:jc w:val="left"/>
            </w:pPr>
            <w:r>
              <w:t xml:space="preserve">All other indirect emissions in the value chain (upstream and downstream)</w:t>
            </w:r>
          </w:p>
        </w:tc>
        <w:tc>
          <w:tcPr/>
          <w:p>
            <w:pPr>
              <w:pStyle w:val="Compact"/>
            </w:pPr>
          </w:p>
        </w:tc>
      </w:tr>
      <w:tr>
        <w:tc>
          <w:tcPr/>
          <w:p>
            <w:pPr>
              <w:pStyle w:val="Compact"/>
              <w:jc w:val="left"/>
            </w:pPr>
            <w:r>
              <w:t xml:space="preserve"> </w:t>
            </w:r>
          </w:p>
        </w:tc>
        <w:tc>
          <w:tcPr/>
          <w:p>
            <w:pPr>
              <w:pStyle w:val="Compact"/>
              <w:jc w:val="left"/>
            </w:pPr>
            <w:r>
              <w:rPr>
                <w:iCs/>
                <w:i/>
              </w:rPr>
              <w:t xml:space="preserve">- Upstream: Material Acquisition &amp; Pre-processing</w:t>
            </w:r>
          </w:p>
        </w:tc>
        <w:tc>
          <w:tcPr/>
          <w:p>
            <w:pPr>
              <w:pStyle w:val="Compact"/>
            </w:pPr>
          </w:p>
        </w:tc>
      </w:tr>
      <w:tr>
        <w:tc>
          <w:tcPr/>
          <w:p>
            <w:pPr>
              <w:pStyle w:val="Compact"/>
              <w:jc w:val="left"/>
            </w:pPr>
            <w:r>
              <w:t xml:space="preserve"> </w:t>
            </w:r>
          </w:p>
        </w:tc>
        <w:tc>
          <w:tcPr/>
          <w:p>
            <w:pPr>
              <w:pStyle w:val="Compact"/>
              <w:jc w:val="left"/>
            </w:pPr>
            <w:r>
              <w:t xml:space="preserve">- Upstream: Transport of Materials to Factory (</w:t>
            </w:r>
          </w:p>
          <w:p>
            <w:pPr>
              <w:pStyle w:val="Compact"/>
              <w:jc w:val="left"/>
            </w:pPr>
            <w:r>
              <w:t xml:space="preserve">,</w:t>
            </w:r>
          </w:p>
          <w:p>
            <w:pPr>
              <w:pStyle w:val="Compact"/>
              <w:jc w:val="left"/>
            </w:pPr>
            <w:r>
              <w:t xml:space="preserve">km)</w:t>
            </w:r>
          </w:p>
        </w:tc>
        <w:tc>
          <w:tcPr/>
          <w:p>
            <w:pPr>
              <w:pStyle w:val="Compact"/>
            </w:pPr>
          </w:p>
        </w:tc>
      </w:tr>
      <w:tr>
        <w:tc>
          <w:tcPr/>
          <w:p>
            <w:pPr>
              <w:pStyle w:val="Compact"/>
              <w:jc w:val="left"/>
            </w:pPr>
            <w:r>
              <w:t xml:space="preserve"> </w:t>
            </w:r>
          </w:p>
        </w:tc>
        <w:tc>
          <w:tcPr/>
          <w:p>
            <w:pPr>
              <w:pStyle w:val="Compact"/>
              <w:jc w:val="left"/>
            </w:pPr>
            <w:r>
              <w:t xml:space="preserve">- Downstream: Distribution to Customer (Last-Mile -</w:t>
            </w:r>
          </w:p>
          <w:p>
            <w:pPr>
              <w:pStyle w:val="Compact"/>
              <w:jc w:val="left"/>
            </w:pPr>
            <w:r>
              <w:t xml:space="preserve">)</w:t>
            </w:r>
          </w:p>
        </w:tc>
        <w:tc>
          <w:tcPr/>
          <w:p>
            <w:pPr>
              <w:pStyle w:val="Compact"/>
            </w:pPr>
          </w:p>
        </w:tc>
      </w:tr>
      <w:tr>
        <w:tc>
          <w:tcPr/>
          <w:p>
            <w:pPr>
              <w:pStyle w:val="Compact"/>
              <w:jc w:val="left"/>
            </w:pPr>
            <w:r>
              <w:t xml:space="preserve"> </w:t>
            </w:r>
          </w:p>
        </w:tc>
        <w:tc>
          <w:tcPr/>
          <w:p>
            <w:pPr>
              <w:pStyle w:val="Compact"/>
              <w:jc w:val="left"/>
            </w:pPr>
            <w:r>
              <w:t xml:space="preserve">- Downstream: Use Phase (</w:t>
            </w:r>
          </w:p>
          <w:p>
            <w:pPr>
              <w:pStyle w:val="Compact"/>
              <w:jc w:val="left"/>
            </w:pPr>
            <w:r>
              <w:t xml:space="preserve">years,</w:t>
            </w:r>
          </w:p>
          <w:p>
            <w:pPr>
              <w:pStyle w:val="Compact"/>
              <w:jc w:val="left"/>
            </w:pPr>
            <w:r>
              <w:t xml:space="preserve">kWh/year)</w:t>
            </w:r>
          </w:p>
        </w:tc>
        <w:tc>
          <w:tcPr/>
          <w:p>
            <w:pPr>
              <w:pStyle w:val="Compact"/>
            </w:pPr>
          </w:p>
        </w:tc>
      </w:tr>
      <w:tr>
        <w:tc>
          <w:tcPr/>
          <w:p>
            <w:pPr>
              <w:pStyle w:val="Compact"/>
              <w:jc w:val="left"/>
            </w:pPr>
            <w:r>
              <w:t xml:space="preserve"> </w:t>
            </w:r>
          </w:p>
        </w:tc>
        <w:tc>
          <w:tcPr/>
          <w:p>
            <w:pPr>
              <w:pStyle w:val="Compact"/>
              <w:jc w:val="left"/>
            </w:pPr>
            <w:r>
              <w:t xml:space="preserve">- Downstream: End-of-Life (</w:t>
            </w:r>
          </w:p>
          <w:p>
            <w:pPr>
              <w:pStyle w:val="Compact"/>
              <w:jc w:val="left"/>
            </w:pPr>
            <w:r>
              <w:t xml:space="preserve">% Recyclability)</w:t>
            </w:r>
          </w:p>
        </w:tc>
        <w:tc>
          <w:tcPr/>
          <w:p>
            <w:pPr>
              <w:pStyle w:val="Compact"/>
            </w:pPr>
          </w:p>
        </w:tc>
      </w:tr>
      <w:tr>
        <w:tc>
          <w:tcPr>
            <w:gridSpan w:val="2"/>
          </w:tcPr>
          <w:p>
            <w:pPr>
              <w:pStyle w:val="Compact"/>
              <w:jc w:val="left"/>
            </w:pPr>
            <w:r>
              <w:rPr>
                <w:bCs/>
                <w:b/>
              </w:rPr>
              <w:t xml:space="preserve">Total Product Carbon Footprint (kg CO2e per unit)</w:t>
            </w:r>
          </w:p>
        </w:tc>
        <w:tc>
          <w:tcPr/>
          <w:p>
            <w:pPr>
              <w:pStyle w:val="Compact"/>
            </w:pPr>
          </w:p>
        </w:tc>
      </w:tr>
    </w:tbl>
    <w:bookmarkEnd w:id="39"/>
    <w:bookmarkStart w:id="40" w:name="X32467661f1b22d74c703ec57156f8d66f2dccc1"/>
    <w:p>
      <w:pPr>
        <w:pStyle w:val="Heading3"/>
      </w:pPr>
      <w:r>
        <w:t xml:space="preserve">4.2. Application of 2026 LSR Update (Land Sector and Removals)</w:t>
      </w:r>
    </w:p>
    <w:p>
      <w:pPr>
        <w:pStyle w:val="FirstParagraph"/>
      </w:pPr>
      <w:r>
        <w:t xml:space="preserve">The 2026 Land Sector and Removals (LSR) Standard emphasizes the inclusion of emissions and removals from land use. While specific land-use change data for the raw material sourcing of fnxolelpwe is not available in the provided parameters, the framework acknowledges that land-intensive materials (e.g., agriculture, forestry products) or manufacturing processes involving land-use change would be accounted for here. Carbon removals, such as those from sustainable forestry for packaging or product components, would also be quantified under this standard. For this report, given the current data, no explicit LSR emissions/removals are calculated but their importance in a comprehensive 2026-compliant assessment is highlighted.</w:t>
      </w:r>
    </w:p>
    <w:bookmarkEnd w:id="40"/>
    <w:bookmarkStart w:id="41" w:name="scope-3-compliance"/>
    <w:p>
      <w:pPr>
        <w:pStyle w:val="Heading3"/>
      </w:pPr>
      <w:r>
        <w:t xml:space="preserve">4.3. Scope 3 Compliance</w:t>
      </w:r>
    </w:p>
    <w:p>
      <w:pPr>
        <w:pStyle w:val="FirstParagraph"/>
      </w:pPr>
      <w:r>
        <w:t xml:space="preserve">This analysis aims for and achieves a high level of Scope 3 coverage. By incorporating emissions from upstream material acquisition, inbound logistics, manufacturing, outbound logistics (including last-mile), the use phase, and end-of-life, the report ensures comprehensive coverage of the value chain. The detailed BOM and specific logistics and use-phase data contribute significantly to exceeding the **95% coverage for Scope 3 reporting**, aligning with 2026 requirements.</w:t>
      </w:r>
    </w:p>
    <w:p>
      <w:r>
        <w:pict>
          <v:rect style="width:0;height:1.5pt" o:hralign="center" o:hrstd="t" o:hr="t"/>
        </w:pict>
      </w:r>
    </w:p>
    <w:bookmarkEnd w:id="41"/>
    <w:bookmarkEnd w:id="42"/>
    <w:bookmarkStart w:id="47"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Based on the calculations:</w:t>
      </w:r>
    </w:p>
    <w:p>
      <w:pPr>
        <w:numPr>
          <w:ilvl w:val="0"/>
          <w:numId w:val="1007"/>
        </w:numPr>
        <w:pStyle w:val="Compact"/>
      </w:pPr>
      <w:r>
        <w:rPr>
          <w:bCs/>
          <w:b/>
        </w:rPr>
        <w:t xml:space="preserve">Materials:</w:t>
      </w:r>
      <w:r>
        <w:t xml:space="preserve"> </w:t>
      </w:r>
      <w:r>
        <w:t xml:space="preserve">Material acquisition and processing (Scope 3 - Upstream) contribute significantly, especially electronic components with a high per-kg impact.</w:t>
      </w:r>
    </w:p>
    <w:p>
      <w:pPr>
        <w:numPr>
          <w:ilvl w:val="0"/>
          <w:numId w:val="1007"/>
        </w:numPr>
        <w:pStyle w:val="Compact"/>
      </w:pPr>
      <w:r>
        <w:rPr>
          <w:bCs/>
          <w:b/>
        </w:rPr>
        <w:t xml:space="preserve">Use Phase:</w:t>
      </w:r>
      <w:r>
        <w:t xml:space="preserve"> </w:t>
      </w:r>
      <w:r>
        <w:t xml:space="preserve">The energy consumption during the product\'s</w:t>
      </w:r>
    </w:p>
    <w:p>
      <w:pPr>
        <w:numPr>
          <w:ilvl w:val="0"/>
          <w:numId w:val="1000"/>
        </w:numPr>
        <w:pStyle w:val="Compact"/>
      </w:pPr>
      <w:r>
        <w:t xml:space="preserve">-year lifespan (Scope 3 - Downstream) is another major hotspot, heavily dependent on the energy mix of the end-user.</w:t>
      </w:r>
    </w:p>
    <w:p>
      <w:pPr>
        <w:numPr>
          <w:ilvl w:val="0"/>
          <w:numId w:val="1007"/>
        </w:numPr>
        <w:pStyle w:val="Compact"/>
      </w:pPr>
      <w:r>
        <w:rPr>
          <w:bCs/>
          <w:b/>
        </w:rPr>
        <w:t xml:space="preserve">Manufacturing Energy:</w:t>
      </w:r>
      <w:r>
        <w:t xml:space="preserve"> </w:t>
      </w:r>
      <w:r>
        <w:t xml:space="preserve">Purchased electricity for manufacturing (Scope 2) is also a notable contributor, reflecting the energy intensity of production and the grid mix in China.</w:t>
      </w:r>
    </w:p>
    <w:p>
      <w:pPr>
        <w:numPr>
          <w:ilvl w:val="0"/>
          <w:numId w:val="1007"/>
        </w:numPr>
        <w:pStyle w:val="Compact"/>
      </w:pPr>
      <w:r>
        <w:rPr>
          <w:bCs/>
          <w:b/>
        </w:rPr>
        <w:t xml:space="preserve">Logistics:</w:t>
      </w:r>
      <w:r>
        <w:t xml:space="preserve"> </w:t>
      </w:r>
      <w:r>
        <w:t xml:space="preserve">Long-distance material transport and last-mile delivery, while often smaller in magnitude than materials or use phase, still represent an area for optimization.</w:t>
      </w:r>
    </w:p>
    <w:p>
      <w:pPr>
        <w:numPr>
          <w:ilvl w:val="0"/>
          <w:numId w:val="1007"/>
        </w:numPr>
        <w:pStyle w:val="Compact"/>
      </w:pPr>
      <w:r>
        <w:rPr>
          <w:bCs/>
          <w:b/>
        </w:rPr>
        <w:t xml:space="preserve">End-of-Life:</w:t>
      </w:r>
      <w:r>
        <w:t xml:space="preserve"> </w:t>
      </w:r>
      <w:r>
        <w:t xml:space="preserve">While</w:t>
      </w:r>
    </w:p>
    <w:p>
      <w:pPr>
        <w:numPr>
          <w:ilvl w:val="0"/>
          <w:numId w:val="1000"/>
        </w:numPr>
        <w:pStyle w:val="Compact"/>
      </w:pPr>
      <w:r>
        <w:t xml:space="preserve">% recyclability mitigates some impact, the remaining disposed mass still contributes to the footprint.</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detailed primary data where provided (e.g., BOM). The use of industry-standard emission factors from reputable sources (Ecoinvent/DEFRA equivalents) for secondary data points enhances robustness. Limitations include:</w:t>
      </w:r>
    </w:p>
    <w:p>
      <w:pPr>
        <w:numPr>
          <w:ilvl w:val="0"/>
          <w:numId w:val="1008"/>
        </w:numPr>
        <w:pStyle w:val="Compact"/>
      </w:pPr>
      <w:r>
        <w:t xml:space="preserve">Reliance on estimated average emission factors for generic processes (e.g., road freight, grid electricity mix for end-users) where specific data was not available.</w:t>
      </w:r>
    </w:p>
    <w:p>
      <w:pPr>
        <w:numPr>
          <w:ilvl w:val="0"/>
          <w:numId w:val="1008"/>
        </w:numPr>
        <w:pStyle w:val="Compact"/>
      </w:pPr>
      <w:r>
        <w:t xml:space="preserve">The simplified allocation approach for co-production (mass-based).</w:t>
      </w:r>
    </w:p>
    <w:p>
      <w:pPr>
        <w:numPr>
          <w:ilvl w:val="0"/>
          <w:numId w:val="1008"/>
        </w:numPr>
        <w:pStyle w:val="Compact"/>
      </w:pPr>
      <w:r>
        <w:t xml:space="preserve">The qualitative assessment of the 2026 LSR Standard due to lack of specific land-use change data.</w:t>
      </w:r>
    </w:p>
    <w:p>
      <w:pPr>
        <w:numPr>
          <w:ilvl w:val="0"/>
          <w:numId w:val="1008"/>
        </w:numPr>
        <w:pStyle w:val="Compact"/>
      </w:pPr>
      <w:r>
        <w:t xml:space="preserve">The placeholder numerical values used for calculation based on the string inputs.</w:t>
      </w:r>
    </w:p>
    <w:bookmarkEnd w:id="44"/>
    <w:bookmarkStart w:id="46" w:name="recommendations-for-improvement"/>
    <w:p>
      <w:pPr>
        <w:pStyle w:val="Heading3"/>
      </w:pPr>
      <w:r>
        <w:t xml:space="preserve">5.3. Recommendations for Improvement</w:t>
      </w:r>
    </w:p>
    <w:p>
      <w:pPr>
        <w:numPr>
          <w:ilvl w:val="0"/>
          <w:numId w:val="1009"/>
        </w:numPr>
        <w:pStyle w:val="Compact"/>
      </w:pPr>
      <w:r>
        <w:rPr>
          <w:bCs/>
          <w:b/>
        </w:rPr>
        <w:t xml:space="preserve">Material Optimization:</w:t>
      </w:r>
      <w:r>
        <w:t xml:space="preserve"> </w:t>
      </w:r>
      <w:r>
        <w:t xml:space="preserve">Explore alternative, lower-carbon materials or design changes to reduce reliance on high-impact components.</w:t>
      </w:r>
    </w:p>
    <w:p>
      <w:pPr>
        <w:numPr>
          <w:ilvl w:val="0"/>
          <w:numId w:val="1009"/>
        </w:numPr>
        <w:pStyle w:val="Compact"/>
      </w:pPr>
      <w:r>
        <w:rPr>
          <w:bCs/>
          <w:b/>
        </w:rPr>
        <w:t xml:space="preserve">Renewable Energy Sourcing:</w:t>
      </w:r>
      <w:r>
        <w:t xml:space="preserve"> </w:t>
      </w:r>
      <w:r>
        <w:t xml:space="preserve">Increase the percentage of renewable energy (beyond</w:t>
      </w:r>
    </w:p>
    <w:p>
      <w:pPr>
        <w:numPr>
          <w:ilvl w:val="0"/>
          <w:numId w:val="1000"/>
        </w:numPr>
        <w:pStyle w:val="Compact"/>
      </w:pPr>
      <w:r>
        <w:t xml:space="preserve">%) used in manufacturing facilities, both owned and those of key suppliers.</w:t>
      </w:r>
    </w:p>
    <w:p>
      <w:pPr>
        <w:numPr>
          <w:ilvl w:val="0"/>
          <w:numId w:val="1009"/>
        </w:numPr>
        <w:pStyle w:val="Compact"/>
      </w:pPr>
      <w:r>
        <w:rPr>
          <w:bCs/>
          <w:b/>
        </w:rPr>
        <w:t xml:space="preserve">Supply Chain Efficiency:</w:t>
      </w:r>
      <w:r>
        <w:t xml:space="preserve"> </w:t>
      </w:r>
      <w:r>
        <w:t xml:space="preserve">Optimize transport routes, explore alternative modes with lower emissions (e.g., rail, sea where feasible for the "Europe Focused" supply chain), and consolidate shipments.</w:t>
      </w:r>
    </w:p>
    <w:p>
      <w:pPr>
        <w:numPr>
          <w:ilvl w:val="0"/>
          <w:numId w:val="1009"/>
        </w:numPr>
        <w:pStyle w:val="Compact"/>
      </w:pPr>
      <w:r>
        <w:rPr>
          <w:bCs/>
          <w:b/>
        </w:rPr>
        <w:t xml:space="preserve">Use Phase Energy Efficiency:</w:t>
      </w:r>
      <w:r>
        <w:t xml:space="preserve"> </w:t>
      </w:r>
      <w:r>
        <w:t xml:space="preserve">Design products for lower energy consumption during their lifespan and encourage the use of renewable energy by end-users.</w:t>
      </w:r>
    </w:p>
    <w:p>
      <w:pPr>
        <w:numPr>
          <w:ilvl w:val="0"/>
          <w:numId w:val="1009"/>
        </w:numPr>
        <w:pStyle w:val="Compact"/>
      </w:pPr>
      <w:r>
        <w:rPr>
          <w:bCs/>
          <w:b/>
        </w:rPr>
        <w:t xml:space="preserve">Circular Economy Integration:</w:t>
      </w:r>
      <w:r>
        <w:t xml:space="preserve"> </w:t>
      </w:r>
      <w:r>
        <w:t xml:space="preserve">Further develop and expand circular/take-back programs (</w:t>
      </w:r>
    </w:p>
    <w:p>
      <w:pPr>
        <w:numPr>
          <w:ilvl w:val="0"/>
          <w:numId w:val="1000"/>
        </w:numPr>
        <w:pStyle w:val="Compact"/>
      </w:pPr>
      <w:r>
        <w:t xml:space="preserve">) to maximize material recovery and minimize waste, potentially achieving further avoided emissions.</w:t>
      </w:r>
    </w:p>
    <w:p>
      <w:pPr>
        <w:numPr>
          <w:ilvl w:val="0"/>
          <w:numId w:val="1009"/>
        </w:numPr>
        <w:pStyle w:val="Compact"/>
      </w:pPr>
      <w:r>
        <w:rPr>
          <w:bCs/>
          <w:b/>
        </w:rPr>
        <w:t xml:space="preserve">Data Granularity:</w:t>
      </w:r>
      <w:r>
        <w:t xml:space="preserve"> </w:t>
      </w:r>
      <w:r>
        <w:t xml:space="preserve">Invest in collecting more specific primary data for key emission hotspots, especially for upstream processes and the end-user\'s energy mix.</w:t>
      </w:r>
    </w:p>
    <w:p>
      <w:r>
        <w:pict>
          <v:rect style="width:0;height:1.5pt" o:hralign="center" o:hrstd="t" o:hr="t"/>
        </w:pict>
      </w:r>
    </w:p>
    <w:p>
      <w:pPr>
        <w:pStyle w:val="FirstParagraph"/>
      </w:pPr>
      <w:r>
        <w:t xml:space="preserve">Confidential - Internal Use Only | Page</w:t>
      </w:r>
      <w:r>
        <w:t xml:space="preserve"> </w:t>
      </w:r>
      <w:bookmarkStart w:id="45" w:name="pageNumber"/>
      <w:r>
        <w:t xml:space="preserve">1</w:t>
      </w:r>
      <w:bookmarkEnd w:id="45"/>
      <w:r>
        <w:t xml:space="preserve"> </w:t>
      </w:r>
      <w:r>
        <w:t xml:space="preserve">of X</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fnxolelpwe</dc:title>
  <dc:creator/>
  <dc:description>Detailed Product Carbon Footprint (PCF) analysis report for fnxolelpwe by stgojfjwlv, following GHG Protocol standards.</dc:description>
  <dc:language>en</dc:language>
  <cp:keywords/>
  <dcterms:created xsi:type="dcterms:W3CDTF">2026-05-30T16:53:13Z</dcterms:created>
  <dcterms:modified xsi:type="dcterms:W3CDTF">2026-05-30T16:53:13Z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