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fnosoviesd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fnosoviesd</w:t>
      </w:r>
    </w:p>
    <w:p>
      <w:pPr>
        <w:pStyle w:val="BodyText"/>
      </w:pPr>
      <w:r>
        <w:t xml:space="preserve">Company Name:</w:t>
      </w:r>
      <w:r>
        <w:t xml:space="preserve"> </w:t>
      </w:r>
      <w:r>
        <w:rPr>
          <w:bCs/>
          <w:b/>
        </w:rPr>
        <w:t xml:space="preserve">jtemmrrsoq</w:t>
      </w:r>
    </w:p>
    <w:p>
      <w:pPr>
        <w:pStyle w:val="BodyText"/>
      </w:pPr>
      <w:r>
        <w:t xml:space="preserve">Senior Sustainability Consultant:</w:t>
      </w:r>
      <w:r>
        <w:t xml:space="preserve"> </w:t>
      </w:r>
      <w:r>
        <w:rPr>
          <w:bCs/>
          <w:b/>
        </w:rPr>
        <w:t xml:space="preserve">kwwzxhwodw</w:t>
      </w:r>
    </w:p>
    <w:p>
      <w:pPr>
        <w:pStyle w:val="BodyText"/>
      </w:pPr>
      <w:r>
        <w:t xml:space="preserve">Accounting Standard:</w:t>
      </w:r>
      <w:r>
        <w:t xml:space="preserve"> </w:t>
      </w:r>
      <w:r>
        <w:rPr>
          <w:bCs/>
          <w:b/>
        </w:rPr>
        <w:t xml:space="preserve">GHG Protocol</w:t>
      </w:r>
    </w:p>
    <w:p>
      <w:pPr>
        <w:pStyle w:val="BodyText"/>
      </w:pPr>
      <w:r>
        <w:rPr>
          <w:iCs/>
          <w:i/>
        </w:rPr>
        <w:t xml:space="preserve">This report is generated based on available data and industry standards. While every effort has been made to ensure accuracy, actual values may vary depending on specific operational details and evolving methodologies.</w:t>
      </w:r>
    </w:p>
    <w:bookmarkEnd w:id="20"/>
    <w:bookmarkStart w:id="49"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June 3, 2026</w:t>
      </w:r>
    </w:p>
    <w:p>
      <w:pPr>
        <w:pStyle w:val="BodyText"/>
      </w:pPr>
      <w:r>
        <w:rPr>
          <w:bCs/>
          <w:b/>
        </w:rPr>
        <w:t xml:space="preserve">Product Name:</w:t>
      </w:r>
      <w:r>
        <w:t xml:space="preserve"> </w:t>
      </w:r>
      <w:r>
        <w:t xml:space="preserve">fnosoviesd</w:t>
      </w:r>
    </w:p>
    <w:p>
      <w:pPr>
        <w:pStyle w:val="BodyText"/>
      </w:pPr>
      <w:r>
        <w:rPr>
          <w:bCs/>
          <w:b/>
        </w:rPr>
        <w:t xml:space="preserve">Company Name:</w:t>
      </w:r>
      <w:r>
        <w:t xml:space="preserve"> </w:t>
      </w:r>
      <w:r>
        <w:t xml:space="preserve">jtemmrrsoq</w:t>
      </w:r>
    </w:p>
    <w:p>
      <w:pPr>
        <w:pStyle w:val="BodyText"/>
      </w:pPr>
      <w:r>
        <w:rPr>
          <w:bCs/>
          <w:b/>
        </w:rPr>
        <w:t xml:space="preserve">Senior Sustainability Consultant:</w:t>
      </w:r>
      <w:r>
        <w:t xml:space="preserve"> </w:t>
      </w:r>
      <w:r>
        <w:t xml:space="preserve">kwwzxhwodw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fnosoviesd, manufactured by jtemmrrsoq. The analysis has been conducted by kwwzxhwodw, Senior Sustainability Consultant, adhering strictly to the Greenhouse Gas (GHG) Protocol standards. The objective is to quantify the total greenhouse gas emissions associated with the product\'s entire lifecycle, from raw material acquisition to end-of-life, providing a comprehensive understanding of its environmental impact. This assessment incorporates specific operational data for materials, production energy, transport, use phase, and end-of-life scenarios, along with the latest 2026 updates to the GHG Protocol concerning Scope 3 reporting and the Land Sector and Removals (LSR) Standard.</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fnosoviesd follows a cradle-to-grave approach, encompassing all stages of the product\'s life cycle. This methodology ensures a comprehensive assessment of emissions, aligned with the principles of the GHG Protocol.</w:t>
      </w:r>
    </w:p>
    <w:bookmarkStart w:id="22" w:name="accounting-standard"/>
    <w:p>
      <w:pPr>
        <w:pStyle w:val="Heading3"/>
      </w:pPr>
      <w:r>
        <w:t xml:space="preserve">1.1. Accounting Standard</w:t>
      </w:r>
    </w:p>
    <w:p>
      <w:pPr>
        <w:pStyle w:val="FirstParagraph"/>
      </w:pPr>
      <w:r>
        <w:t xml:space="preserve">The analysis strictly adheres to the</w:t>
      </w:r>
      <w:r>
        <w:t xml:space="preserve"> </w:t>
      </w:r>
      <w:r>
        <w:rPr>
          <w:bCs/>
          <w:b/>
        </w:rPr>
        <w:t xml:space="preserve">GHG Protocol</w:t>
      </w:r>
      <w:r>
        <w:t xml:space="preserve">, categorizing emissions into Scope 1 (direct emissions), Scope 2 (indirect emissions from purchased energy), and Scope 3 (all other indirect emissions in the value chain). This ensures consistency and comparability with international best practices for corporate GHG reporting.</w:t>
      </w:r>
    </w:p>
    <w:bookmarkEnd w:id="22"/>
    <w:bookmarkStart w:id="23"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fnosoviesd</w:t>
      </w:r>
      <w:r>
        <w:t xml:space="preserve">.</w:t>
      </w:r>
    </w:p>
    <w:bookmarkEnd w:id="23"/>
    <w:bookmarkStart w:id="24" w:name="system-boundary"/>
    <w:p>
      <w:pPr>
        <w:pStyle w:val="Heading3"/>
      </w:pPr>
      <w:r>
        <w:t xml:space="preserve">1.3. System Boundary</w:t>
      </w:r>
    </w:p>
    <w:p>
      <w:pPr>
        <w:pStyle w:val="FirstParagraph"/>
      </w:pPr>
      <w:r>
        <w:t xml:space="preserve">While the initial system boundary for production is considered</w:t>
      </w:r>
      <w:r>
        <w:t xml:space="preserve"> </w:t>
      </w:r>
      <w:r>
        <w:rPr>
          <w:bCs/>
          <w:b/>
        </w:rPr>
        <w:t xml:space="preserve">factory_gate</w:t>
      </w:r>
      <w:r>
        <w:t xml:space="preserve">, the comprehensive PCF analysis extends to a</w:t>
      </w:r>
      <w:r>
        <w:t xml:space="preserve"> </w:t>
      </w:r>
      <w:r>
        <w:rPr>
          <w:bCs/>
          <w:b/>
        </w:rPr>
        <w:t xml:space="preserve">cradle-to-grave</w:t>
      </w:r>
      <w:r>
        <w:t xml:space="preserve"> </w:t>
      </w:r>
      <w:r>
        <w:t xml:space="preserve">approach. This expansion is necessary to accurately capture emissions from the use phase and end-of-life scenarios as specified in the parameters. The stages covered include raw material extraction and processing, manufacturing, transport, product use, and end-of-life treatment.</w:t>
      </w:r>
    </w:p>
    <w:bookmarkEnd w:id="24"/>
    <w:bookmarkStart w:id="25"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product distribution)</w:t>
      </w:r>
    </w:p>
    <w:bookmarkEnd w:id="25"/>
    <w:bookmarkStart w:id="26" w:name="allocation"/>
    <w:p>
      <w:pPr>
        <w:pStyle w:val="Heading3"/>
      </w:pPr>
      <w:r>
        <w:t xml:space="preserve">1.5. Allocation</w:t>
      </w:r>
    </w:p>
    <w:p>
      <w:pPr>
        <w:pStyle w:val="FirstParagraph"/>
      </w:pPr>
      <w:r>
        <w:t xml:space="preserve">Emissions are allocated based on mass for material inputs, direct energy consumption for the production and use phases, and tonne-kilometer or vehicle-kilometer for transportation, where applicable. For multi-product transport, an allocation based on product weight or volume is assumed per unit.</w:t>
      </w:r>
    </w:p>
    <w:p>
      <w:r>
        <w:pict>
          <v:rect style="width:0;height:1.5pt" o:hralign="center" o:hrstd="t" o:hr="t"/>
        </w:pict>
      </w:r>
    </w:p>
    <w:bookmarkEnd w:id="26"/>
    <w:bookmarkEnd w:id="27"/>
    <w:bookmarkStart w:id="33" w:name="lifecycle-mapping-and-data-collection"/>
    <w:p>
      <w:pPr>
        <w:pStyle w:val="Heading2"/>
      </w:pPr>
      <w:r>
        <w:t xml:space="preserve">2. Lifecycle Mapping and Data Collection</w:t>
      </w:r>
    </w:p>
    <w:p>
      <w:pPr>
        <w:pStyle w:val="FirstParagraph"/>
      </w:pPr>
      <w:r>
        <w:t xml:space="preserve">This section details the lifecycle stages of fnosoviesd and outlines the data collected for each stage. Due to the placeholder nature of some input parameters (e.g., lmzttgmy, ymkjqreoeu, Select Mode, Delivery Type, ymnzjuvixg, dtssmrsqyt, ttimhpiquz, vustknjwth, xwnzrdqonp, exohdiixes), illustrative, plausible values and assumptions have been made where necessary, explicitly stated as such. In a real-world scenario, specific primary data would be collected for these parameters.</w:t>
      </w:r>
    </w:p>
    <w:bookmarkStart w:id="28" w:name="X97d34a4e107674f0f8b0dc154e6ab9cd84d5362"/>
    <w:p>
      <w:pPr>
        <w:pStyle w:val="Heading3"/>
      </w:pPr>
      <w:r>
        <w:t xml:space="preserve">2.1. Detailed Bill of Materials (BOM) - Illustrative Data</w:t>
      </w:r>
    </w:p>
    <w:p>
      <w:pPr>
        <w:pStyle w:val="FirstParagraph"/>
      </w:pPr>
      <w:r>
        <w:t xml:space="preserve">The following table presents an illustrative Bill of Materials (BOM) for fnosoviesd, structured according to the specified format. These values are examples to demonstrate calculation, as the placeholder \'lmzttgmy\' did not contain parseable data. The total product weight used for subsequent calculations is an aggregate of these material quantities plus an assumed weight for components not explicitly listed by weight (e.g., PCB assembly).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3.13 kgCO2e/kg</w:t>
            </w:r>
          </w:p>
        </w:tc>
        <w:tc>
          <w:tcPr/>
          <w:p>
            <w:pPr>
              <w:pStyle w:val="Compact"/>
              <w:jc w:val="left"/>
            </w:pPr>
            <w:r>
              <w:t xml:space="preserve">0.939</w:t>
            </w:r>
          </w:p>
        </w:tc>
      </w:tr>
      <w:tr>
        <w:tc>
          <w:tcPr/>
          <w:p>
            <w:pPr>
              <w:pStyle w:val="Compact"/>
              <w:jc w:val="left"/>
            </w:pPr>
            <w:r>
              <w:t xml:space="preserve">M001</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14.77 kgCO2e/kg</w:t>
            </w:r>
          </w:p>
        </w:tc>
        <w:tc>
          <w:tcPr/>
          <w:p>
            <w:pPr>
              <w:pStyle w:val="Compact"/>
              <w:jc w:val="left"/>
            </w:pPr>
            <w:r>
              <w:t xml:space="preserve">1.477</w:t>
            </w:r>
          </w:p>
        </w:tc>
      </w:tr>
      <w:tr>
        <w:tc>
          <w:tcPr/>
          <w:p>
            <w:pPr>
              <w:pStyle w:val="Compact"/>
              <w:jc w:val="left"/>
            </w:pPr>
            <w:r>
              <w:t xml:space="preserve">E001</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0.50 kgCO2e/unit (illustrative)</w:t>
            </w:r>
          </w:p>
        </w:tc>
        <w:tc>
          <w:tcPr/>
          <w:p>
            <w:pPr>
              <w:pStyle w:val="Compact"/>
              <w:jc w:val="left"/>
            </w:pPr>
            <w:r>
              <w:t xml:space="preserve">0.500</w:t>
            </w:r>
          </w:p>
        </w:tc>
      </w:tr>
      <w:tr>
        <w:tc>
          <w:tcPr/>
          <w:p>
            <w:pPr>
              <w:pStyle w:val="Compact"/>
              <w:jc w:val="left"/>
            </w:pPr>
            <w:r>
              <w:t xml:space="preserve">E002</w:t>
            </w:r>
          </w:p>
        </w:tc>
        <w:tc>
          <w:tcPr/>
          <w:p>
            <w:pPr>
              <w:pStyle w:val="Compact"/>
              <w:jc w:val="left"/>
            </w:pPr>
            <w:r>
              <w:t xml:space="preserve">Copper Wiring &amp; Connectors</w:t>
            </w:r>
          </w:p>
        </w:tc>
        <w:tc>
          <w:tcPr/>
          <w:p>
            <w:pPr>
              <w:pStyle w:val="Compact"/>
              <w:jc w:val="left"/>
            </w:pPr>
            <w:r>
              <w:t xml:space="preserve">Metals/Electronics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 kgCO2e/kg (illustrative)</w:t>
            </w:r>
          </w:p>
        </w:tc>
        <w:tc>
          <w:tcPr/>
          <w:p>
            <w:pPr>
              <w:pStyle w:val="Compact"/>
              <w:jc w:val="left"/>
            </w:pPr>
            <w:r>
              <w:t xml:space="preserve">0.250</w:t>
            </w:r>
          </w:p>
        </w:tc>
      </w:tr>
      <w:tr>
        <w:tc>
          <w:tcPr>
            <w:gridSpan w:val="7"/>
          </w:tcPr>
          <w:p>
            <w:pPr>
              <w:pStyle w:val="Compact"/>
              <w:jc w:val="right"/>
            </w:pPr>
            <w:r>
              <w:rPr>
                <w:bCs/>
                <w:b/>
              </w:rPr>
              <w:t xml:space="preserve">Total Material Carbon (kgCO2e):</w:t>
            </w:r>
          </w:p>
        </w:tc>
        <w:tc>
          <w:tcPr/>
          <w:p>
            <w:pPr>
              <w:pStyle w:val="Compact"/>
              <w:jc w:val="left"/>
            </w:pPr>
            <w:r>
              <w:rPr>
                <w:bCs/>
                <w:b/>
              </w:rPr>
              <w:t xml:space="preserve">3.166</w:t>
            </w:r>
          </w:p>
        </w:tc>
      </w:tr>
    </w:tbl>
    <w:p>
      <w:pPr>
        <w:pStyle w:val="BodyText"/>
      </w:pPr>
      <w:r>
        <w:rPr>
          <w:iCs/>
          <w:i/>
        </w:rPr>
        <w:t xml:space="preserve">Assumed total product weight for fnosoviesd: 0.5 kg/unit (0.3kg + 0.1kg + 0.05kg from materials + 0.05kg assumed for E001).</w:t>
      </w:r>
    </w:p>
    <w:bookmarkEnd w:id="28"/>
    <w:bookmarkStart w:id="29" w:name="production-energy-inputs"/>
    <w:p>
      <w:pPr>
        <w:pStyle w:val="Heading3"/>
      </w:pPr>
      <w:r>
        <w:t xml:space="preserve">2.2. Production Energy Inputs</w:t>
      </w:r>
    </w:p>
    <w:p>
      <w:pPr>
        <w:numPr>
          <w:ilvl w:val="0"/>
          <w:numId w:val="1002"/>
        </w:numPr>
        <w:pStyle w:val="Compact"/>
      </w:pPr>
      <w:r>
        <w:rPr>
          <w:bCs/>
          <w:b/>
        </w:rPr>
        <w:t xml:space="preserve">Energy Intensity (kWh/unit):</w:t>
      </w:r>
      <w:r>
        <w:t xml:space="preserve"> </w:t>
      </w:r>
      <w:r>
        <w:t xml:space="preserve">dtssmrsqyt (Assumed: 15 kWh/unit)</w:t>
      </w:r>
    </w:p>
    <w:p>
      <w:pPr>
        <w:numPr>
          <w:ilvl w:val="0"/>
          <w:numId w:val="1002"/>
        </w:numPr>
        <w:pStyle w:val="Compact"/>
      </w:pPr>
      <w:r>
        <w:rPr>
          <w:bCs/>
          <w:b/>
        </w:rPr>
        <w:t xml:space="preserve">Renewable Energy Usage:</w:t>
      </w:r>
      <w:r>
        <w:t xml:space="preserve"> </w:t>
      </w:r>
      <w:r>
        <w:t xml:space="preserve">ymnzjuvixg (Assumed: 50%)</w:t>
      </w:r>
    </w:p>
    <w:p>
      <w:pPr>
        <w:numPr>
          <w:ilvl w:val="0"/>
          <w:numId w:val="1002"/>
        </w:numPr>
        <w:pStyle w:val="Compact"/>
      </w:pPr>
      <w:r>
        <w:rPr>
          <w:bCs/>
          <w:b/>
        </w:rPr>
        <w:t xml:space="preserve">Non-Renewable Energy Share:</w:t>
      </w:r>
      <w:r>
        <w:t xml:space="preserve"> </w:t>
      </w:r>
      <w:r>
        <w:t xml:space="preserve">50%</w:t>
      </w:r>
    </w:p>
    <w:p>
      <w:pPr>
        <w:numPr>
          <w:ilvl w:val="0"/>
          <w:numId w:val="1002"/>
        </w:numPr>
        <w:pStyle w:val="Compact"/>
      </w:pPr>
      <w:r>
        <w:rPr>
          <w:bCs/>
          <w:b/>
        </w:rPr>
        <w:t xml:space="preserve">China Grid Emission Factor (2025):</w:t>
      </w:r>
      <w:r>
        <w:t xml:space="preserve"> </w:t>
      </w:r>
      <w:r>
        <w:t xml:space="preserve">0.6144 kg CO2e/kWh</w:t>
      </w:r>
    </w:p>
    <w:bookmarkEnd w:id="29"/>
    <w:bookmarkStart w:id="30" w:name="transport-logistics-data"/>
    <w:p>
      <w:pPr>
        <w:pStyle w:val="Heading3"/>
      </w:pPr>
      <w:r>
        <w:t xml:space="preserve">2.3. Transport Logistics Data</w:t>
      </w:r>
    </w:p>
    <w:p>
      <w:pPr>
        <w:numPr>
          <w:ilvl w:val="0"/>
          <w:numId w:val="1003"/>
        </w:numPr>
        <w:pStyle w:val="Compact"/>
      </w:pPr>
      <w:r>
        <w:rPr>
          <w:bCs/>
          <w:b/>
        </w:rPr>
        <w:t xml:space="preserve">Transport Mode (inbound/outbound):</w:t>
      </w:r>
      <w:r>
        <w:t xml:space="preserve"> </w:t>
      </w:r>
      <w:r>
        <w:t xml:space="preserve">Select Mode (Assumed: Road freight, heavy duty truck)</w:t>
      </w:r>
    </w:p>
    <w:p>
      <w:pPr>
        <w:numPr>
          <w:ilvl w:val="0"/>
          <w:numId w:val="1003"/>
        </w:numPr>
        <w:pStyle w:val="Compact"/>
      </w:pPr>
      <w:r>
        <w:rPr>
          <w:bCs/>
          <w:b/>
        </w:rPr>
        <w:t xml:space="preserve">Transport Distance:</w:t>
      </w:r>
      <w:r>
        <w:t xml:space="preserve"> </w:t>
      </w:r>
      <w:r>
        <w:t xml:space="preserve">ymkjqreoeu (Assumed: 1500 km for main freight route)</w:t>
      </w:r>
    </w:p>
    <w:p>
      <w:pPr>
        <w:numPr>
          <w:ilvl w:val="0"/>
          <w:numId w:val="1003"/>
        </w:numPr>
        <w:pStyle w:val="Compact"/>
      </w:pPr>
      <w:r>
        <w:rPr>
          <w:bCs/>
          <w:b/>
        </w:rPr>
        <w:t xml:space="preserve">Road Freight Emission Factor:</w:t>
      </w:r>
      <w:r>
        <w:t xml:space="preserve"> </w:t>
      </w:r>
      <w:r>
        <w:t xml:space="preserve">0.092 kgCO2e/tonne-km (for HGV &gt;20t in Europe)</w:t>
      </w:r>
    </w:p>
    <w:p>
      <w:pPr>
        <w:numPr>
          <w:ilvl w:val="0"/>
          <w:numId w:val="1003"/>
        </w:numPr>
        <w:pStyle w:val="Compact"/>
      </w:pPr>
      <w:r>
        <w:rPr>
          <w:bCs/>
          <w:b/>
        </w:rPr>
        <w:t xml:space="preserve">Last-Mile Delivery Channel:</w:t>
      </w:r>
      <w:r>
        <w:t xml:space="preserve"> </w:t>
      </w:r>
      <w:r>
        <w:t xml:space="preserve">Delivery Type (Assumed: Van delivery)</w:t>
      </w:r>
    </w:p>
    <w:p>
      <w:pPr>
        <w:numPr>
          <w:ilvl w:val="0"/>
          <w:numId w:val="1003"/>
        </w:numPr>
        <w:pStyle w:val="Compact"/>
      </w:pPr>
      <w:r>
        <w:rPr>
          <w:bCs/>
          <w:b/>
        </w:rPr>
        <w:t xml:space="preserve">Last-Mile Delivery Distance (per unit):</w:t>
      </w:r>
      <w:r>
        <w:t xml:space="preserve"> </w:t>
      </w:r>
      <w:r>
        <w:t xml:space="preserve">Assumed: 50 km</w:t>
      </w:r>
    </w:p>
    <w:p>
      <w:pPr>
        <w:numPr>
          <w:ilvl w:val="0"/>
          <w:numId w:val="1003"/>
        </w:numPr>
        <w:pStyle w:val="Compact"/>
      </w:pPr>
      <w:r>
        <w:rPr>
          <w:bCs/>
          <w:b/>
        </w:rPr>
        <w:t xml:space="preserve">Van Delivery Emission Factor:</w:t>
      </w:r>
      <w:r>
        <w:t xml:space="preserve"> </w:t>
      </w:r>
      <w:r>
        <w:t xml:space="preserve">0.249 kgCO2e/km</w:t>
      </w:r>
    </w:p>
    <w:bookmarkEnd w:id="30"/>
    <w:bookmarkStart w:id="31"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ttimhpiquz (Assumed: 5 years)</w:t>
      </w:r>
    </w:p>
    <w:p>
      <w:pPr>
        <w:numPr>
          <w:ilvl w:val="0"/>
          <w:numId w:val="1004"/>
        </w:numPr>
        <w:pStyle w:val="Compact"/>
      </w:pPr>
      <w:r>
        <w:rPr>
          <w:bCs/>
          <w:b/>
        </w:rPr>
        <w:t xml:space="preserve">Energy Consumption in Use:</w:t>
      </w:r>
      <w:r>
        <w:t xml:space="preserve"> </w:t>
      </w:r>
      <w:r>
        <w:t xml:space="preserve">vustknjwth (Assumed: 20 kWh/year)</w:t>
      </w:r>
    </w:p>
    <w:p>
      <w:pPr>
        <w:numPr>
          <w:ilvl w:val="0"/>
          <w:numId w:val="1004"/>
        </w:numPr>
        <w:pStyle w:val="Compact"/>
      </w:pPr>
      <w:r>
        <w:rPr>
          <w:bCs/>
          <w:b/>
        </w:rPr>
        <w:t xml:space="preserve">Electricity Emission Factor (Use Phase):</w:t>
      </w:r>
      <w:r>
        <w:t xml:space="preserve"> </w:t>
      </w:r>
      <w:r>
        <w:t xml:space="preserve">0.6144 kg CO2e/kWh (Using China grid EF as a proxy for a generalized user location)</w:t>
      </w:r>
    </w:p>
    <w:bookmarkEnd w:id="31"/>
    <w:bookmarkStart w:id="32"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xwnzrdqonp (Assumed: 80%)</w:t>
      </w:r>
    </w:p>
    <w:p>
      <w:pPr>
        <w:numPr>
          <w:ilvl w:val="0"/>
          <w:numId w:val="1005"/>
        </w:numPr>
        <w:pStyle w:val="Compact"/>
      </w:pPr>
      <w:r>
        <w:rPr>
          <w:bCs/>
          <w:b/>
        </w:rPr>
        <w:t xml:space="preserve">Circular/Take-back Programs:</w:t>
      </w:r>
      <w:r>
        <w:t xml:space="preserve"> </w:t>
      </w:r>
      <w:r>
        <w:t xml:space="preserve">exohdiixes (Assumed: Yes, established take-back scheme)</w:t>
      </w:r>
    </w:p>
    <w:p>
      <w:pPr>
        <w:numPr>
          <w:ilvl w:val="0"/>
          <w:numId w:val="1005"/>
        </w:numPr>
        <w:pStyle w:val="Compact"/>
      </w:pPr>
      <w:r>
        <w:rPr>
          <w:bCs/>
          <w:b/>
        </w:rPr>
        <w:t xml:space="preserve">Plastic Recycling Credit (avoided virgin production):</w:t>
      </w:r>
      <w:r>
        <w:t xml:space="preserve"> </w:t>
      </w:r>
      <w:r>
        <w:t xml:space="preserve">-1.08 kgCO2e/kg (illustrative for plastic)</w:t>
      </w:r>
    </w:p>
    <w:p>
      <w:pPr>
        <w:numPr>
          <w:ilvl w:val="0"/>
          <w:numId w:val="1005"/>
        </w:numPr>
        <w:pStyle w:val="Compact"/>
      </w:pPr>
      <w:r>
        <w:rPr>
          <w:bCs/>
          <w:b/>
        </w:rPr>
        <w:t xml:space="preserve">Landfill Emission Factor (mixed waste, illustrative for plastic):</w:t>
      </w:r>
      <w:r>
        <w:t xml:space="preserve"> </w:t>
      </w:r>
      <w:r>
        <w:t xml:space="preserve">0.00888 kgCO2e/kg</w:t>
      </w:r>
    </w:p>
    <w:p>
      <w:r>
        <w:pict>
          <v:rect style="width:0;height:1.5pt" o:hralign="center" o:hrstd="t" o:hr="t"/>
        </w:pict>
      </w:r>
    </w:p>
    <w:bookmarkEnd w:id="32"/>
    <w:bookmarkEnd w:id="33"/>
    <w:bookmarkStart w:id="43"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and categorized according to the GHG Protocol scopes.</w:t>
      </w:r>
    </w:p>
    <w:bookmarkStart w:id="34" w:name="scope-1-emissions-direct-emissions"/>
    <w:p>
      <w:pPr>
        <w:pStyle w:val="Heading3"/>
      </w:pPr>
      <w:r>
        <w:t xml:space="preserve">3.1. Scope 1 Emissions (Direct Emissions)</w:t>
      </w:r>
    </w:p>
    <w:p>
      <w:pPr>
        <w:pStyle w:val="FirstParagraph"/>
      </w:pPr>
      <w:r>
        <w:t xml:space="preserve">For fnosoviesd, no direct fuel combustion from company-owned or controlled sources (e.g., company vehicles, on-site boilers) is explicitly identified for its production and delivery within the provided parameters. Therefore, Scope 1 emissions are considered negligible or zero for this product\'s PCF. Any such emissions would typically relate to corporate operations rather than direct product manufacturing. However, if jtemmrrsoq operates its own transport fleet or on-site energy generation without purchasing, those would fall under Scope 1.</w:t>
      </w:r>
    </w:p>
    <w:bookmarkEnd w:id="34"/>
    <w:bookmarkStart w:id="35" w:name="scope-2-emissions-purchased-energy"/>
    <w:p>
      <w:pPr>
        <w:pStyle w:val="Heading3"/>
      </w:pPr>
      <w:r>
        <w:t xml:space="preserve">3.2. Scope 2 Emissions (Purchased Energy)</w:t>
      </w:r>
    </w:p>
    <w:p>
      <w:pPr>
        <w:pStyle w:val="FirstParagraph"/>
      </w:pPr>
      <w:r>
        <w:t xml:space="preserve">Scope 2 emissions account for indirect GHG emissions from the generation of purchased electricity consumed by fnosoviesd\'s manufacturing facilities.</w:t>
      </w:r>
    </w:p>
    <w:p>
      <w:pPr>
        <w:numPr>
          <w:ilvl w:val="0"/>
          <w:numId w:val="1006"/>
        </w:numPr>
        <w:pStyle w:val="Compact"/>
      </w:pPr>
      <w:r>
        <w:t xml:space="preserve">Total Energy Intensity: 15 kWh/unit (assumed)</w:t>
      </w:r>
    </w:p>
    <w:p>
      <w:pPr>
        <w:numPr>
          <w:ilvl w:val="0"/>
          <w:numId w:val="1006"/>
        </w:numPr>
        <w:pStyle w:val="Compact"/>
      </w:pPr>
      <w:r>
        <w:t xml:space="preserve">Renewable Energy Usage: 50% (assumed)</w:t>
      </w:r>
    </w:p>
    <w:p>
      <w:pPr>
        <w:numPr>
          <w:ilvl w:val="0"/>
          <w:numId w:val="1006"/>
        </w:numPr>
        <w:pStyle w:val="Compact"/>
      </w:pPr>
      <w:r>
        <w:t xml:space="preserve">Non-Renewable Electricity Consumption: 15 kWh/unit * (1 - 0.50) = 7.5 kWh/unit</w:t>
      </w:r>
    </w:p>
    <w:p>
      <w:pPr>
        <w:numPr>
          <w:ilvl w:val="0"/>
          <w:numId w:val="1006"/>
        </w:numPr>
        <w:pStyle w:val="Compact"/>
      </w:pPr>
      <w:r>
        <w:t xml:space="preserve">China Grid Emission Factor (2025): 0.6144 kg CO2e/kWh</w:t>
      </w:r>
    </w:p>
    <w:p>
      <w:pPr>
        <w:numPr>
          <w:ilvl w:val="0"/>
          <w:numId w:val="1006"/>
        </w:numPr>
        <w:pStyle w:val="Compact"/>
      </w:pPr>
      <w:r>
        <w:rPr>
          <w:bCs/>
          <w:b/>
        </w:rPr>
        <w:t xml:space="preserve">Scope 2 Emissions:</w:t>
      </w:r>
      <w:r>
        <w:t xml:space="preserve"> </w:t>
      </w:r>
      <w:r>
        <w:t xml:space="preserve">7.5 kWh/unit * 0.6144 kg CO2e/kWh =</w:t>
      </w:r>
      <w:r>
        <w:t xml:space="preserve"> </w:t>
      </w:r>
      <w:r>
        <w:rPr>
          <w:bCs/>
          <w:b/>
        </w:rPr>
        <w:t xml:space="preserve">4.608 kg CO2e/unit</w:t>
      </w:r>
    </w:p>
    <w:bookmarkEnd w:id="35"/>
    <w:bookmarkStart w:id="41" w:name="scope-3-emissions-value-chain-emissions"/>
    <w:p>
      <w:pPr>
        <w:pStyle w:val="Heading3"/>
      </w:pPr>
      <w:r>
        <w:t xml:space="preserve">3.3. Scope 3 Emissions (Value Chain Emissions)</w:t>
      </w:r>
    </w:p>
    <w:p>
      <w:pPr>
        <w:pStyle w:val="FirstParagraph"/>
      </w:pPr>
      <w:r>
        <w:t xml:space="preserve">Scope 3 emissions represent the most significant portion of fnosoviesd\'s carbon footprint, covering upstream and downstream activities. Per 2026 GHG Protocol requirements, at least 95% coverage for Scope 3 reporting is targeted.</w:t>
      </w:r>
    </w:p>
    <w:bookmarkStart w:id="36" w:name="Xab9729a0caae076ca89f2f71668734f92723cf2"/>
    <w:p>
      <w:pPr>
        <w:pStyle w:val="Heading4"/>
      </w:pPr>
      <w:r>
        <w:t xml:space="preserve">3.3.1. Category 1: Purchased Goods and Services (Materials)</w:t>
      </w:r>
    </w:p>
    <w:p>
      <w:pPr>
        <w:pStyle w:val="FirstParagraph"/>
      </w:pPr>
      <w:r>
        <w:t xml:space="preserve">This includes emissions from the extraction, production, and transportation of raw materials and components for fnosoviesd.</w:t>
      </w:r>
    </w:p>
    <w:p>
      <w:pPr>
        <w:numPr>
          <w:ilvl w:val="0"/>
          <w:numId w:val="1007"/>
        </w:numPr>
        <w:pStyle w:val="Compact"/>
      </w:pPr>
      <w:r>
        <w:t xml:space="preserve">Total Material Carbon (from illustrative BOM): 3.166 kg CO2e/unit</w:t>
      </w:r>
    </w:p>
    <w:p>
      <w:pPr>
        <w:numPr>
          <w:ilvl w:val="0"/>
          <w:numId w:val="1007"/>
        </w:numPr>
        <w:pStyle w:val="Compact"/>
      </w:pPr>
      <w:r>
        <w:rPr>
          <w:bCs/>
          <w:b/>
        </w:rPr>
        <w:t xml:space="preserve">Scope 3, Category 1 Emissions: 3.166 kg CO2e/unit</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transporting raw materials and components to the manufacturing facility.</w:t>
      </w:r>
    </w:p>
    <w:p>
      <w:pPr>
        <w:numPr>
          <w:ilvl w:val="0"/>
          <w:numId w:val="1008"/>
        </w:numPr>
        <w:pStyle w:val="Compact"/>
      </w:pPr>
      <w:r>
        <w:t xml:space="preserve">Total Material Weight: 0.45 kg (0.00045 tonnes)</w:t>
      </w:r>
    </w:p>
    <w:p>
      <w:pPr>
        <w:numPr>
          <w:ilvl w:val="0"/>
          <w:numId w:val="1008"/>
        </w:numPr>
        <w:pStyle w:val="Compact"/>
      </w:pPr>
      <w:r>
        <w:t xml:space="preserve">Assumed Inbound Transport Distance: 1500 km</w:t>
      </w:r>
    </w:p>
    <w:p>
      <w:pPr>
        <w:numPr>
          <w:ilvl w:val="0"/>
          <w:numId w:val="1008"/>
        </w:numPr>
        <w:pStyle w:val="Compact"/>
      </w:pPr>
      <w:r>
        <w:t xml:space="preserve">Road Freight Emission Factor: 0.092 kgCO2e/tonne-km</w:t>
      </w:r>
    </w:p>
    <w:p>
      <w:pPr>
        <w:numPr>
          <w:ilvl w:val="0"/>
          <w:numId w:val="1008"/>
        </w:numPr>
        <w:pStyle w:val="Compact"/>
      </w:pPr>
      <w:r>
        <w:rPr>
          <w:bCs/>
          <w:b/>
        </w:rPr>
        <w:t xml:space="preserve">Scope 3, Category 4 Emissions:</w:t>
      </w:r>
      <w:r>
        <w:t xml:space="preserve"> </w:t>
      </w:r>
      <w:r>
        <w:t xml:space="preserve">0.00045 tonnes * 1500 km * 0.092 kgCO2e/tonne-km =</w:t>
      </w:r>
      <w:r>
        <w:t xml:space="preserve"> </w:t>
      </w:r>
      <w:r>
        <w:rPr>
          <w:bCs/>
          <w:b/>
        </w:rPr>
        <w:t xml:space="preserve">0.0621 kg CO2e/unit</w:t>
      </w:r>
    </w:p>
    <w:bookmarkEnd w:id="37"/>
    <w:bookmarkStart w:id="38" w:name="X25a0837e2ca53a982bfb6f58a50970139f4f25f"/>
    <w:p>
      <w:pPr>
        <w:pStyle w:val="Heading4"/>
      </w:pPr>
      <w:r>
        <w:t xml:space="preserve">3.3.3. Category 9: Downstream Transportation and Distribution</w:t>
      </w:r>
    </w:p>
    <w:p>
      <w:pPr>
        <w:pStyle w:val="FirstParagraph"/>
      </w:pPr>
      <w:r>
        <w:t xml:space="preserve">Emissions from transporting the finished product from the factory to the end-consumer, including main freight and last-mile delivery.</w:t>
      </w:r>
    </w:p>
    <w:p>
      <w:pPr>
        <w:numPr>
          <w:ilvl w:val="0"/>
          <w:numId w:val="1009"/>
        </w:numPr>
        <w:pStyle w:val="Compact"/>
      </w:pPr>
      <w:r>
        <w:t xml:space="preserve">Product Weight: 0.5 kg (0.0005 tonnes)</w:t>
      </w:r>
    </w:p>
    <w:p>
      <w:pPr>
        <w:numPr>
          <w:ilvl w:val="0"/>
          <w:numId w:val="1009"/>
        </w:numPr>
        <w:pStyle w:val="Compact"/>
      </w:pPr>
      <w:r>
        <w:t xml:space="preserve">Assumed Outbound Transport Distance (Main Freight): 1500 km</w:t>
      </w:r>
    </w:p>
    <w:p>
      <w:pPr>
        <w:numPr>
          <w:ilvl w:val="0"/>
          <w:numId w:val="1009"/>
        </w:numPr>
        <w:pStyle w:val="Compact"/>
      </w:pPr>
      <w:r>
        <w:t xml:space="preserve">Road Freight Emission Factor: 0.092 kgCO2e/tonne-km</w:t>
      </w:r>
    </w:p>
    <w:p>
      <w:pPr>
        <w:numPr>
          <w:ilvl w:val="0"/>
          <w:numId w:val="1009"/>
        </w:numPr>
        <w:pStyle w:val="Compact"/>
      </w:pPr>
      <w:r>
        <w:t xml:space="preserve">Main Freight Emissions: 0.0005 tonnes * 1500 km * 0.092 kgCO2e/tonne-km = 0.069 kg CO2e/unit</w:t>
      </w:r>
    </w:p>
    <w:p>
      <w:pPr>
        <w:numPr>
          <w:ilvl w:val="0"/>
          <w:numId w:val="1009"/>
        </w:numPr>
        <w:pStyle w:val="Compact"/>
      </w:pPr>
      <w:r>
        <w:t xml:space="preserve">Assumed Last-Mile Delivery Distance (per unit): 50 km</w:t>
      </w:r>
    </w:p>
    <w:p>
      <w:pPr>
        <w:numPr>
          <w:ilvl w:val="0"/>
          <w:numId w:val="1009"/>
        </w:numPr>
        <w:pStyle w:val="Compact"/>
      </w:pPr>
      <w:r>
        <w:t xml:space="preserve">Van Delivery Emission Factor: 0.249 kgCO2e/km</w:t>
      </w:r>
    </w:p>
    <w:p>
      <w:pPr>
        <w:numPr>
          <w:ilvl w:val="0"/>
          <w:numId w:val="1009"/>
        </w:numPr>
        <w:pStyle w:val="Compact"/>
      </w:pPr>
      <w:r>
        <w:t xml:space="preserve">Last-Mile Emissions: 50 km * 0.249 kgCO2e/km = 12.45 kg CO2e/unit (</w:t>
      </w:r>
      <w:r>
        <w:rPr>
          <w:iCs/>
          <w:i/>
        </w:rPr>
        <w:t xml:space="preserve">Note: This calculation assumes the full van emission for 50km is allocated to a single unit, which is a worst-case simplification. In practice, this would be allocated based on average load factor for more accuracy.</w:t>
      </w:r>
      <w:r>
        <w:t xml:space="preserve">)</w:t>
      </w:r>
    </w:p>
    <w:p>
      <w:pPr>
        <w:numPr>
          <w:ilvl w:val="0"/>
          <w:numId w:val="1009"/>
        </w:numPr>
        <w:pStyle w:val="Compact"/>
      </w:pPr>
      <w:r>
        <w:rPr>
          <w:bCs/>
          <w:b/>
        </w:rPr>
        <w:t xml:space="preserve">Total Scope 3, Category 9 Emissions:</w:t>
      </w:r>
      <w:r>
        <w:t xml:space="preserve"> </w:t>
      </w:r>
      <w:r>
        <w:t xml:space="preserve">0.069 kg CO2e/unit + 12.45 kg CO2e/unit =</w:t>
      </w:r>
      <w:r>
        <w:t xml:space="preserve"> </w:t>
      </w:r>
      <w:r>
        <w:rPr>
          <w:bCs/>
          <w:b/>
        </w:rPr>
        <w:t xml:space="preserve">12.519 kg CO2e/unit</w:t>
      </w:r>
    </w:p>
    <w:bookmarkEnd w:id="38"/>
    <w:bookmarkStart w:id="39" w:name="category-11-use-of-sold-products"/>
    <w:p>
      <w:pPr>
        <w:pStyle w:val="Heading4"/>
      </w:pPr>
      <w:r>
        <w:t xml:space="preserve">3.3.4. Category 11: Use of Sold Products</w:t>
      </w:r>
    </w:p>
    <w:p>
      <w:pPr>
        <w:pStyle w:val="FirstParagraph"/>
      </w:pPr>
      <w:r>
        <w:t xml:space="preserve">Emissions associated with the energy consumption during the product\'s operational lifespan.</w:t>
      </w:r>
    </w:p>
    <w:p>
      <w:pPr>
        <w:numPr>
          <w:ilvl w:val="0"/>
          <w:numId w:val="1010"/>
        </w:numPr>
        <w:pStyle w:val="Compact"/>
      </w:pPr>
      <w:r>
        <w:t xml:space="preserve">Product Lifespan: 5 years (assumed)</w:t>
      </w:r>
    </w:p>
    <w:p>
      <w:pPr>
        <w:numPr>
          <w:ilvl w:val="0"/>
          <w:numId w:val="1010"/>
        </w:numPr>
        <w:pStyle w:val="Compact"/>
      </w:pPr>
      <w:r>
        <w:t xml:space="preserve">Energy Consumption in Use: 20 kWh/year (assumed)</w:t>
      </w:r>
    </w:p>
    <w:p>
      <w:pPr>
        <w:numPr>
          <w:ilvl w:val="0"/>
          <w:numId w:val="1010"/>
        </w:numPr>
        <w:pStyle w:val="Compact"/>
      </w:pPr>
      <w:r>
        <w:t xml:space="preserve">Total Energy Consumption over Lifespan: 20 kWh/year * 5 years = 100 kWh/unit</w:t>
      </w:r>
    </w:p>
    <w:p>
      <w:pPr>
        <w:numPr>
          <w:ilvl w:val="0"/>
          <w:numId w:val="1010"/>
        </w:numPr>
        <w:pStyle w:val="Compact"/>
      </w:pPr>
      <w:r>
        <w:t xml:space="preserve">Electricity Emission Factor (Use Phase): 0.6144 kg CO2e/kWh</w:t>
      </w:r>
    </w:p>
    <w:p>
      <w:pPr>
        <w:numPr>
          <w:ilvl w:val="0"/>
          <w:numId w:val="1010"/>
        </w:numPr>
        <w:pStyle w:val="Compact"/>
      </w:pPr>
      <w:r>
        <w:rPr>
          <w:bCs/>
          <w:b/>
        </w:rPr>
        <w:t xml:space="preserve">Scope 3, Category 11 Emissions:</w:t>
      </w:r>
      <w:r>
        <w:t xml:space="preserve"> </w:t>
      </w:r>
      <w:r>
        <w:t xml:space="preserve">100 kWh/unit * 0.6144 kg CO2e/kWh =</w:t>
      </w:r>
      <w:r>
        <w:t xml:space="preserve"> </w:t>
      </w:r>
      <w:r>
        <w:rPr>
          <w:bCs/>
          <w:b/>
        </w:rPr>
        <w:t xml:space="preserve">61.44 kg CO2e/unit</w:t>
      </w:r>
    </w:p>
    <w:bookmarkEnd w:id="39"/>
    <w:bookmarkStart w:id="40" w:name="X9f66eef2700632e081dfe139021cb724ffcd2c5"/>
    <w:p>
      <w:pPr>
        <w:pStyle w:val="Heading4"/>
      </w:pPr>
      <w:r>
        <w:t xml:space="preserve">3.3.5. Category 12: End-of-Life Treatment of Sold Products</w:t>
      </w:r>
    </w:p>
    <w:p>
      <w:pPr>
        <w:pStyle w:val="FirstParagraph"/>
      </w:pPr>
      <w:r>
        <w:t xml:space="preserve">Emissions and potential credits associated with the disposal or recycling of fnosoviesd at the end of its life.</w:t>
      </w:r>
    </w:p>
    <w:p>
      <w:pPr>
        <w:numPr>
          <w:ilvl w:val="0"/>
          <w:numId w:val="1011"/>
        </w:numPr>
        <w:pStyle w:val="Compact"/>
      </w:pPr>
      <w:r>
        <w:t xml:space="preserve">Product Weight: 0.5 kg/unit</w:t>
      </w:r>
    </w:p>
    <w:p>
      <w:pPr>
        <w:numPr>
          <w:ilvl w:val="0"/>
          <w:numId w:val="1011"/>
        </w:numPr>
        <w:pStyle w:val="Compact"/>
      </w:pPr>
      <w:r>
        <w:t xml:space="preserve">Recyclability Percentage: 80% (assumed)</w:t>
      </w:r>
    </w:p>
    <w:p>
      <w:pPr>
        <w:numPr>
          <w:ilvl w:val="0"/>
          <w:numId w:val="1011"/>
        </w:numPr>
        <w:pStyle w:val="Compact"/>
      </w:pPr>
      <w:r>
        <w:t xml:space="preserve">Recycled Quantity: 0.5 kg * 0.80 = 0.4 kg</w:t>
      </w:r>
    </w:p>
    <w:p>
      <w:pPr>
        <w:numPr>
          <w:ilvl w:val="0"/>
          <w:numId w:val="1011"/>
        </w:numPr>
        <w:pStyle w:val="Compact"/>
      </w:pPr>
      <w:r>
        <w:t xml:space="preserve">Disposed Quantity (to landfill): 0.5 kg * 0.20 = 0.1 kg</w:t>
      </w:r>
    </w:p>
    <w:p>
      <w:pPr>
        <w:numPr>
          <w:ilvl w:val="0"/>
          <w:numId w:val="1011"/>
        </w:numPr>
        <w:pStyle w:val="Compact"/>
      </w:pPr>
      <w:r>
        <w:t xml:space="preserve">Recycling Credit (for 0.4 kg, illustrative avoided virgin plastic): -0.4 kg * 1.08 kgCO2e/kg = -0.432 kg CO2e (credit)</w:t>
      </w:r>
    </w:p>
    <w:p>
      <w:pPr>
        <w:numPr>
          <w:ilvl w:val="0"/>
          <w:numId w:val="1011"/>
        </w:numPr>
        <w:pStyle w:val="Compact"/>
      </w:pPr>
      <w:r>
        <w:t xml:space="preserve">Landfill Emissions (for 0.1 kg mixed plastic/metal): 0.1 kg * 0.00888 kgCO2e/kg = 0.000888 kg CO2e</w:t>
      </w:r>
    </w:p>
    <w:p>
      <w:pPr>
        <w:numPr>
          <w:ilvl w:val="0"/>
          <w:numId w:val="1011"/>
        </w:numPr>
        <w:pStyle w:val="Compact"/>
      </w:pPr>
      <w:r>
        <w:rPr>
          <w:bCs/>
          <w:b/>
        </w:rPr>
        <w:t xml:space="preserve">Net Scope 3, Category 12 Emissions:</w:t>
      </w:r>
      <w:r>
        <w:t xml:space="preserve"> </w:t>
      </w:r>
      <w:r>
        <w:t xml:space="preserve">-0.432 kg CO2e/unit + 0.000888 kg CO2e/unit =</w:t>
      </w:r>
      <w:r>
        <w:t xml:space="preserve"> </w:t>
      </w:r>
      <w:r>
        <w:rPr>
          <w:bCs/>
          <w:b/>
        </w:rPr>
        <w:t xml:space="preserve">-0.431 kg CO2e/unit</w:t>
      </w:r>
      <w:r>
        <w:t xml:space="preserve"> </w:t>
      </w:r>
      <w:r>
        <w:t xml:space="preserve">(Net credit due to high recyclability)</w:t>
      </w:r>
    </w:p>
    <w:bookmarkEnd w:id="40"/>
    <w:bookmarkEnd w:id="41"/>
    <w:bookmarkStart w:id="42" w:name="total-product-carbon-footprint"/>
    <w:p>
      <w:pPr>
        <w:pStyle w:val="Heading3"/>
      </w:pPr>
      <w:r>
        <w:t xml:space="preserve">3.4. Total Product Carbon Footprint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Data Type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c>
          <w:tcPr/>
          <w:p>
            <w:pPr>
              <w:pStyle w:val="Compact"/>
              <w:jc w:val="left"/>
            </w:pPr>
            <w:r>
              <w:t xml:space="preserve">Assumed (negligible)</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4.608</w:t>
            </w:r>
          </w:p>
        </w:tc>
        <w:tc>
          <w:tcPr/>
          <w:p>
            <w:pPr>
              <w:pStyle w:val="Compact"/>
              <w:jc w:val="left"/>
            </w:pPr>
            <w:r>
              <w:t xml:space="preserve">Secondary (Grid EF)</w:t>
            </w:r>
          </w:p>
        </w:tc>
      </w:tr>
      <w:tr>
        <w:tc>
          <w:tcPr>
            <w:gridSpan w:val="4"/>
          </w:tcPr>
          <w:p>
            <w:pPr>
              <w:pStyle w:val="Compact"/>
              <w:jc w:val="left"/>
            </w:pPr>
            <w:r>
              <w:rPr>
                <w:bCs/>
                <w:b/>
              </w:rPr>
              <w:t xml:space="preserve">Scope 3 Emissions:</w:t>
            </w:r>
          </w:p>
        </w:tc>
      </w:tr>
      <w:tr>
        <w:tc>
          <w:tcPr/>
          <w:p>
            <w:pPr>
              <w:pStyle w:val="Compact"/>
              <w:jc w:val="left"/>
            </w:pPr>
            <w:r>
              <w:t xml:space="preserve">    Category 1</w:t>
            </w:r>
          </w:p>
        </w:tc>
        <w:tc>
          <w:tcPr/>
          <w:p>
            <w:pPr>
              <w:pStyle w:val="Compact"/>
              <w:jc w:val="left"/>
            </w:pPr>
            <w:r>
              <w:t xml:space="preserve">Purchased Goods and Services (Materials)</w:t>
            </w:r>
          </w:p>
        </w:tc>
        <w:tc>
          <w:tcPr/>
          <w:p>
            <w:pPr>
              <w:pStyle w:val="Compact"/>
              <w:jc w:val="left"/>
            </w:pPr>
            <w:r>
              <w:t xml:space="preserve">3.166</w:t>
            </w:r>
          </w:p>
        </w:tc>
        <w:tc>
          <w:tcPr/>
          <w:p>
            <w:pPr>
              <w:pStyle w:val="Compact"/>
              <w:jc w:val="left"/>
            </w:pPr>
            <w:r>
              <w:t xml:space="preserve">Secondary (Industry EFs)</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0.062</w:t>
            </w:r>
          </w:p>
        </w:tc>
        <w:tc>
          <w:tcPr/>
          <w:p>
            <w:pPr>
              <w:pStyle w:val="Compact"/>
              <w:jc w:val="left"/>
            </w:pPr>
            <w:r>
              <w:t xml:space="preserve">Secondary (Industry EFs)</w:t>
            </w:r>
          </w:p>
        </w:tc>
      </w:tr>
      <w:tr>
        <w:tc>
          <w:tcPr/>
          <w:p>
            <w:pPr>
              <w:pStyle w:val="Compact"/>
              <w:jc w:val="left"/>
            </w:pPr>
            <w:r>
              <w:t xml:space="preserve">    Category 9</w:t>
            </w:r>
          </w:p>
        </w:tc>
        <w:tc>
          <w:tcPr/>
          <w:p>
            <w:pPr>
              <w:pStyle w:val="Compact"/>
              <w:jc w:val="left"/>
            </w:pPr>
            <w:r>
              <w:t xml:space="preserve">Downstream Transportation and Distribution</w:t>
            </w:r>
          </w:p>
        </w:tc>
        <w:tc>
          <w:tcPr/>
          <w:p>
            <w:pPr>
              <w:pStyle w:val="Compact"/>
              <w:jc w:val="left"/>
            </w:pPr>
            <w:r>
              <w:t xml:space="preserve">12.519</w:t>
            </w:r>
          </w:p>
        </w:tc>
        <w:tc>
          <w:tcPr/>
          <w:p>
            <w:pPr>
              <w:pStyle w:val="Compact"/>
              <w:jc w:val="left"/>
            </w:pPr>
            <w:r>
              <w:t xml:space="preserve">Secondary (Industry EFs, simplified allocation)</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61.440</w:t>
            </w:r>
          </w:p>
        </w:tc>
        <w:tc>
          <w:tcPr/>
          <w:p>
            <w:pPr>
              <w:pStyle w:val="Compact"/>
              <w:jc w:val="left"/>
            </w:pPr>
            <w:r>
              <w:t xml:space="preserve">Secondary (Industry EFs)</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-0.431</w:t>
            </w:r>
          </w:p>
        </w:tc>
        <w:tc>
          <w:tcPr/>
          <w:p>
            <w:pPr>
              <w:pStyle w:val="Compact"/>
              <w:jc w:val="left"/>
            </w:pPr>
            <w:r>
              <w:t xml:space="preserve">Secondary (Industry EFs, recycling credit)</w:t>
            </w:r>
          </w:p>
        </w:tc>
      </w:tr>
      <w:tr>
        <w:tc>
          <w:tcPr>
            <w:gridSpan w:val="2"/>
          </w:tcPr>
          <w:p>
            <w:pPr>
              <w:pStyle w:val="Compact"/>
              <w:jc w:val="right"/>
            </w:pPr>
            <w:r>
              <w:rPr>
                <w:bCs/>
                <w:b/>
              </w:rPr>
              <w:t xml:space="preserve">Total Gross PCF (kg CO2e/unit):</w:t>
            </w:r>
          </w:p>
        </w:tc>
        <w:tc>
          <w:tcPr/>
          <w:p>
            <w:pPr>
              <w:pStyle w:val="Compact"/>
              <w:jc w:val="left"/>
            </w:pPr>
            <w:r>
              <w:rPr>
                <w:bCs/>
                <w:b/>
              </w:rPr>
              <w:t xml:space="preserve">81.364</w:t>
            </w:r>
          </w:p>
        </w:tc>
        <w:tc>
          <w:tcPr/>
          <w:p>
            <w:pPr>
              <w:pStyle w:val="Compact"/>
            </w:pPr>
          </w:p>
        </w:tc>
      </w:tr>
      <w:tr>
        <w:tc>
          <w:tcPr>
            <w:gridSpan w:val="2"/>
          </w:tcPr>
          <w:p>
            <w:pPr>
              <w:pStyle w:val="Compact"/>
              <w:jc w:val="right"/>
            </w:pPr>
            <w:r>
              <w:rPr>
                <w:bCs/>
                <w:b/>
              </w:rPr>
              <w:t xml:space="preserve">Total Net PCF (kg CO2e/unit, with EoL credit):</w:t>
            </w:r>
          </w:p>
        </w:tc>
        <w:tc>
          <w:tcPr/>
          <w:p>
            <w:pPr>
              <w:pStyle w:val="Compact"/>
              <w:jc w:val="left"/>
            </w:pPr>
            <w:r>
              <w:rPr>
                <w:bCs/>
                <w:b/>
              </w:rPr>
              <w:t xml:space="preserve">81.364</w:t>
            </w:r>
          </w:p>
        </w:tc>
        <w:tc>
          <w:tcPr/>
          <w:p>
            <w:pPr>
              <w:pStyle w:val="Compact"/>
            </w:pPr>
          </w:p>
        </w:tc>
      </w:tr>
    </w:tbl>
    <w:p>
      <w:r>
        <w:pict>
          <v:rect style="width:0;height:1.5pt" o:hralign="center" o:hrstd="t" o:hr="t"/>
        </w:pict>
      </w:r>
    </w:p>
    <w:bookmarkEnd w:id="42"/>
    <w:bookmarkEnd w:id="43"/>
    <w:bookmarkStart w:id="48" w:name="review-report"/>
    <w:p>
      <w:pPr>
        <w:pStyle w:val="Heading2"/>
      </w:pPr>
      <w:r>
        <w:t xml:space="preserve">4. Review &amp; Report</w:t>
      </w:r>
    </w:p>
    <w:bookmarkStart w:id="44" w:name="hotspots-analysis"/>
    <w:p>
      <w:pPr>
        <w:pStyle w:val="Heading3"/>
      </w:pPr>
      <w:r>
        <w:t xml:space="preserve">4.1. Hotspots Analysis</w:t>
      </w:r>
    </w:p>
    <w:p>
      <w:pPr>
        <w:pStyle w:val="FirstParagraph"/>
      </w:pPr>
      <w:r>
        <w:t xml:space="preserve">Based on the calculations, the primary emissions hotspots for fnosoviesd are:</w:t>
      </w:r>
    </w:p>
    <w:p>
      <w:pPr>
        <w:numPr>
          <w:ilvl w:val="0"/>
          <w:numId w:val="1012"/>
        </w:numPr>
        <w:pStyle w:val="Compact"/>
      </w:pPr>
      <w:r>
        <w:rPr>
          <w:bCs/>
          <w:b/>
        </w:rPr>
        <w:t xml:space="preserve">Use of Sold Products (Category 11):</w:t>
      </w:r>
      <w:r>
        <w:t xml:space="preserve"> </w:t>
      </w:r>
      <w:r>
        <w:t xml:space="preserve">This constitutes the largest portion of the PCF (approx. 75%), primarily due to the assumed energy consumption over the product\'s 5-year lifespan. This highlights the critical importance of energy efficiency in product design.</w:t>
      </w:r>
    </w:p>
    <w:p>
      <w:pPr>
        <w:numPr>
          <w:ilvl w:val="0"/>
          <w:numId w:val="1012"/>
        </w:numPr>
        <w:pStyle w:val="Compact"/>
      </w:pPr>
      <w:r>
        <w:rPr>
          <w:bCs/>
          <w:b/>
        </w:rPr>
        <w:t xml:space="preserve">Downstream Transportation and Distribution (Category 9):</w:t>
      </w:r>
      <w:r>
        <w:t xml:space="preserve"> </w:t>
      </w:r>
      <w:r>
        <w:t xml:space="preserve">Last-mile delivery (approx. 15% of PCF) shows a significant impact per unit, largely due to the simplified allocation method used (full van emissions for a short distance). Optimizing logistics and delivery efficiency, or using more accurate allocation methods, would be crucial here.</w:t>
      </w:r>
    </w:p>
    <w:p>
      <w:pPr>
        <w:numPr>
          <w:ilvl w:val="0"/>
          <w:numId w:val="1012"/>
        </w:numPr>
        <w:pStyle w:val="Compact"/>
      </w:pPr>
      <w:r>
        <w:rPr>
          <w:bCs/>
          <w:b/>
        </w:rPr>
        <w:t xml:space="preserve">Production (Scope 2) and Purchased Goods &amp; Services (Category 1):</w:t>
      </w:r>
      <w:r>
        <w:t xml:space="preserve"> </w:t>
      </w:r>
      <w:r>
        <w:t xml:space="preserve">These upstream stages contribute significantly (approx. 6% and 4% respectively). Efforts in decarbonizing manufacturing energy and sourcing lower-carbon materials are important.</w:t>
      </w:r>
    </w:p>
    <w:bookmarkEnd w:id="44"/>
    <w:bookmarkStart w:id="45" w:name="reliability-and-data-quality"/>
    <w:p>
      <w:pPr>
        <w:pStyle w:val="Heading3"/>
      </w:pPr>
      <w:r>
        <w:t xml:space="preserve">4.2. Reliability and Data Quality</w:t>
      </w:r>
    </w:p>
    <w:p>
      <w:pPr>
        <w:pStyle w:val="FirstParagraph"/>
      </w:pPr>
      <w:r>
        <w:t xml:space="preserve">The reliability of this report is directly dependent on the accuracy and specificity of the input data. As many parameters were provided as placeholders, illustrative industry-average emission factors and assumptions were used. In a real-world scenario, primary data from suppliers, energy providers, and logistics partners would significantly enhance the accuracy and robustness of the PCF. The 2026 GHG Protocol Scope 3 revisions emphasize mandatory disaggregation by data type (e.g., primary activity data vs. spend-based/industry-based estimates) and annual data quality improvement targets, pushing towards more traceable and auditable emissions reporting.</w:t>
      </w:r>
    </w:p>
    <w:bookmarkEnd w:id="45"/>
    <w:bookmarkStart w:id="46" w:name="Xa0167153afb08617bc1ef66f877fb2c58fdaeda"/>
    <w:p>
      <w:pPr>
        <w:pStyle w:val="Heading3"/>
      </w:pPr>
      <w:r>
        <w:t xml:space="preserve">4.3. Adherence to GHG Protocol and 2026 LSR Update</w:t>
      </w:r>
    </w:p>
    <w:p>
      <w:pPr>
        <w:numPr>
          <w:ilvl w:val="0"/>
          <w:numId w:val="1013"/>
        </w:numPr>
        <w:pStyle w:val="Compact"/>
      </w:pPr>
      <w:r>
        <w:rPr>
          <w:bCs/>
          <w:b/>
        </w:rPr>
        <w:t xml:space="preserve">GHG Protocol:</w:t>
      </w:r>
      <w:r>
        <w:t xml:space="preserve"> </w:t>
      </w:r>
      <w:r>
        <w:t xml:space="preserve">The analysis strictly categorizes emissions into Scope 1, 2, and 3 as required by the GHG Protocol.</w:t>
      </w:r>
    </w:p>
    <w:p>
      <w:pPr>
        <w:numPr>
          <w:ilvl w:val="0"/>
          <w:numId w:val="1013"/>
        </w:numPr>
        <w:pStyle w:val="Compact"/>
      </w:pPr>
      <w:r>
        <w:rPr>
          <w:bCs/>
          <w:b/>
        </w:rPr>
        <w:t xml:space="preserve">2026 LSR Update:</w:t>
      </w:r>
      <w:r>
        <w:t xml:space="preserve"> </w:t>
      </w:r>
      <w:r>
        <w:t xml:space="preserve">The Land Sector and Removals (LSR) Standard v1.0 was released on January 30, 2026, and takes effect on January 1, 2027. It provides requirements for companies with significant land sector activities or those reporting CO2 removals. For fnosoviesd, a product primarily of plastics, metals, and electronics, direct land use impacts are considered minimal. However, for raw materials with agricultural or forestry origins (not prevalent in this product\'s illustrative BOM), the LSR Standard would necessitate detailed accounting for land-based GHG emissions and removals. This report acknowledges the LSR Standard but notes its limited direct applicability to the current illustrative BOM for fnosoviesd.</w:t>
      </w:r>
    </w:p>
    <w:p>
      <w:pPr>
        <w:numPr>
          <w:ilvl w:val="0"/>
          <w:numId w:val="1013"/>
        </w:numPr>
        <w:pStyle w:val="Compact"/>
      </w:pPr>
      <w:r>
        <w:rPr>
          <w:bCs/>
          <w:b/>
        </w:rPr>
        <w:t xml:space="preserve">Scope 3 Compliance:</w:t>
      </w:r>
      <w:r>
        <w:t xml:space="preserve"> </w:t>
      </w:r>
      <w:r>
        <w:t xml:space="preserve">The analysis aims for comprehensive Scope 3 coverage across relevant categories. The 2026 revisions to the Scope 3 Standard propose a 95% inclusion threshold, mandating near-complete Scope 3 coverage and requiring justification for any exclusions. This report has attempted to cover all relevant upstream and downstream categories to meet this ambition, although data quality remains illustrative.</w:t>
      </w:r>
    </w:p>
    <w:bookmarkEnd w:id="46"/>
    <w:bookmarkStart w:id="47" w:name="recommendations"/>
    <w:p>
      <w:pPr>
        <w:pStyle w:val="Heading3"/>
      </w:pPr>
      <w:r>
        <w:t xml:space="preserve">4.4. Recommendations</w:t>
      </w:r>
    </w:p>
    <w:p>
      <w:pPr>
        <w:numPr>
          <w:ilvl w:val="0"/>
          <w:numId w:val="1014"/>
        </w:numPr>
        <w:pStyle w:val="Compact"/>
      </w:pPr>
      <w:r>
        <w:rPr>
          <w:bCs/>
          <w:b/>
        </w:rPr>
        <w:t xml:space="preserve">Energy Efficiency in Use Phase:</w:t>
      </w:r>
      <w:r>
        <w:t xml:space="preserve"> </w:t>
      </w:r>
      <w:r>
        <w:t xml:space="preserve">Invest in R&amp;D to significantly reduce fnosoviesd\'s energy consumption during its use phase, as this is the dominant hotspot.</w:t>
      </w:r>
    </w:p>
    <w:p>
      <w:pPr>
        <w:numPr>
          <w:ilvl w:val="0"/>
          <w:numId w:val="1014"/>
        </w:numPr>
        <w:pStyle w:val="Compact"/>
      </w:pPr>
      <w:r>
        <w:rPr>
          <w:bCs/>
          <w:b/>
        </w:rPr>
        <w:t xml:space="preserve">Supply Chain Engagement:</w:t>
      </w:r>
      <w:r>
        <w:t xml:space="preserve"> </w:t>
      </w:r>
      <w:r>
        <w:t xml:space="preserve">Work with material and component suppliers to gather primary emission data and identify opportunities for sourcing lower-carbon alternatives, especially for aluminum and plastics.</w:t>
      </w:r>
    </w:p>
    <w:p>
      <w:pPr>
        <w:numPr>
          <w:ilvl w:val="0"/>
          <w:numId w:val="1014"/>
        </w:numPr>
        <w:pStyle w:val="Compact"/>
      </w:pPr>
      <w:r>
        <w:rPr>
          <w:bCs/>
          <w:b/>
        </w:rPr>
        <w:t xml:space="preserve">Logistics Optimization:</w:t>
      </w:r>
      <w:r>
        <w:t xml:space="preserve"> </w:t>
      </w:r>
      <w:r>
        <w:t xml:space="preserve">Explore more efficient transport modes (e.g., sea freight for main routes if feasible), optimize load factors for road transport, and investigate low-carbon last-mile delivery options to reduce downstream transport emissions.</w:t>
      </w:r>
    </w:p>
    <w:p>
      <w:pPr>
        <w:numPr>
          <w:ilvl w:val="0"/>
          <w:numId w:val="1014"/>
        </w:numPr>
        <w:pStyle w:val="Compact"/>
      </w:pPr>
      <w:r>
        <w:rPr>
          <w:bCs/>
          <w:b/>
        </w:rPr>
        <w:t xml:space="preserve">Circular Economy Integration:</w:t>
      </w:r>
      <w:r>
        <w:t xml:space="preserve"> </w:t>
      </w:r>
      <w:r>
        <w:t xml:space="preserve">Leverage and expand the established take-back scheme (\'exohdiixes\') to maximize the actual recycling and reuse rates, further increasing the end-of-life credits. Explore design-for-disassembly to improve recyclability beyond the assumed 80%.</w:t>
      </w:r>
    </w:p>
    <w:p>
      <w:pPr>
        <w:numPr>
          <w:ilvl w:val="0"/>
          <w:numId w:val="1014"/>
        </w:numPr>
        <w:pStyle w:val="Compact"/>
      </w:pPr>
      <w:r>
        <w:rPr>
          <w:bCs/>
          <w:b/>
        </w:rPr>
        <w:t xml:space="preserve">Data Collection:</w:t>
      </w:r>
      <w:r>
        <w:t xml:space="preserve"> </w:t>
      </w:r>
      <w:r>
        <w:t xml:space="preserve">Implement robust systems for collecting primary data for all Scope 3 categories to enhance the accuracy and auditability of future PCF reports, aligning with the evolving GHG Protocol requirements for data transparency and disaggregation.</w:t>
      </w:r>
    </w:p>
    <w:bookmarkEnd w:id="47"/>
    <w:bookmarkEnd w:id="48"/>
    <w:bookmarkEnd w:id="49"/>
    <w:p>
      <w:pPr>
        <w:pStyle w:val="FirstParagraph"/>
      </w:pPr>
      <w:r>
        <w:t xml:space="preserve">Confidential - Internal Use Only | Page</w:t>
      </w:r>
    </w:p>
    <w:p>
      <w:pPr>
        <w:pStyle w:val="BodyText"/>
      </w:pPr>
      <w:r>
        <w:t xml:space="preserve">of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fnosoviesd</dc:title>
  <dc:creator/>
  <dc:description>High-detail Product Carbon Footprint (PCF) analysis for fnosoviesd, adhering to GHG Protocol standards and 2026 updates, performed by Senior Sustainability Consultant kwwzxhwodw for jtemmrrsoq.</dc:description>
  <dc:language>en</dc:language>
  <cp:keywords/>
  <dcterms:created xsi:type="dcterms:W3CDTF">2026-07-15T09:26:35Z</dcterms:created>
  <dcterms:modified xsi:type="dcterms:W3CDTF">2026-07-15T09:26:35Z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