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fnkidqfmzf</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fnkidqfmzf</w:t>
      </w:r>
    </w:p>
    <w:p>
      <w:pPr>
        <w:pStyle w:val="BodyText"/>
      </w:pPr>
      <w:r>
        <w:rPr>
          <w:bCs/>
          <w:b/>
        </w:rPr>
        <w:t xml:space="preserve">Company Name:</w:t>
      </w:r>
      <w:r>
        <w:t xml:space="preserve"> </w:t>
      </w:r>
      <w:r>
        <w:t xml:space="preserve">rmjzgdutvi</w:t>
      </w:r>
    </w:p>
    <w:p>
      <w:pPr>
        <w:pStyle w:val="BodyText"/>
      </w:pPr>
      <w:r>
        <w:rPr>
          <w:bCs/>
          <w:b/>
        </w:rPr>
        <w:t xml:space="preserve">Senior Sustainability Consultant:</w:t>
      </w:r>
      <w:r>
        <w:t xml:space="preserve"> </w:t>
      </w:r>
      <w:r>
        <w:t xml:space="preserve">mrfrhxdtpr</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specific parameters provided by the client. While efforts have been made to ensure accuracy and adherence to the GHG Protocol, actual emissions may vary depending on data availability, specific operational details, and methodological choices. Illustrative data has been used where specific quantitative inputs were not provided in the requested format.</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mrfrhxdtpr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fnkidqfmzf</w:t>
      </w:r>
      <w:r>
        <w:t xml:space="preserve">, manufactured by</w:t>
      </w:r>
      <w:r>
        <w:t xml:space="preserve"> </w:t>
      </w:r>
      <w:r>
        <w:rPr>
          <w:bCs/>
          <w:b/>
        </w:rPr>
        <w:t xml:space="preserve">rmjzgdutvi</w:t>
      </w:r>
      <w:r>
        <w:t xml:space="preserve">. The analysis, conducted by Senior Sustainability Consultant mrfrhxdtpr, rigorously adheres to the GHG Protocol, including the 2026 Land Sector and Removals (LSR) Standard update and aiming for at least 95% Scope 3 coverage. The PCF quantifies the total Greenhouse Gas (GHG) emissions associated with the product\'s lifecycle, from raw material extraction through manufacturing, distribution, use, and end-of-life. Key emissions hotspots have been identified to inform strategic decarbonization efforts.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w:t>
      </w:r>
      <w:r>
        <w:t xml:space="preserve"> </w:t>
      </w:r>
      <w:r>
        <w:rPr>
          <w:bCs/>
          <w:b/>
        </w:rPr>
        <w:t xml:space="preserve">fnkidqfmzf</w:t>
      </w:r>
      <w:r>
        <w:t xml:space="preserve"> </w:t>
      </w:r>
      <w:r>
        <w:t xml:space="preserve">follows a structured, five-step methodology in accordance with the GHG Protocol Product Standard, integrating the latest 2026 Land Sector and Removals (LSR) Standard for land use and carbon removals. This approach ensures a comprehensive and robust assessment of the product\'s environmental impact across its entire lifecycle.</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fnkidqfmzf.</w:t>
      </w:r>
    </w:p>
    <w:p>
      <w:pPr>
        <w:numPr>
          <w:ilvl w:val="1"/>
          <w:numId w:val="1002"/>
        </w:numPr>
        <w:pStyle w:val="Compact"/>
      </w:pPr>
      <w:r>
        <w:rPr>
          <w:bCs/>
          <w:b/>
        </w:rPr>
        <w:t xml:space="preserve">System Boundary:</w:t>
      </w:r>
      <w:r>
        <w:t xml:space="preserve"> </w:t>
      </w:r>
      <w:r>
        <w:t xml:space="preserve">Cradle-to-grave, with a focus on the</w:t>
      </w:r>
      <w:r>
        <w:t xml:space="preserve"> </w:t>
      </w:r>
      <w:r>
        <w:rPr>
          <w:bCs/>
          <w:b/>
        </w:rPr>
        <w:t xml:space="preserve">factory_gate</w:t>
      </w:r>
      <w:r>
        <w:t xml:space="preserve"> </w:t>
      </w:r>
      <w:r>
        <w:t xml:space="preserve">for direct production emissions. Upstream (material acquisition, transport) and downstream (distribution, use, end-of-life) stages are included for a comprehensive Scope 3 assessment.</w:t>
      </w:r>
    </w:p>
    <w:p>
      <w:pPr>
        <w:numPr>
          <w:ilvl w:val="1"/>
          <w:numId w:val="1002"/>
        </w:numPr>
        <w:pStyle w:val="Compact"/>
      </w:pPr>
      <w:r>
        <w:rPr>
          <w:bCs/>
          <w:b/>
        </w:rPr>
        <w:t xml:space="preserve">Geographic Scope:</w:t>
      </w:r>
      <w:r>
        <w:t xml:space="preserve"> </w:t>
      </w:r>
      <w:r>
        <w:t xml:space="preserve">Final Production Country: China. Supply Chain Focus: Europe Focused for downstream elements like product use and distribution.</w:t>
      </w:r>
    </w:p>
    <w:p>
      <w:pPr>
        <w:numPr>
          <w:ilvl w:val="1"/>
          <w:numId w:val="1002"/>
        </w:numPr>
        <w:pStyle w:val="Compact"/>
      </w:pPr>
      <w:r>
        <w:rPr>
          <w:bCs/>
          <w:b/>
        </w:rPr>
        <w:t xml:space="preserve">Allocation:</w:t>
      </w:r>
      <w:r>
        <w:t xml:space="preserve"> </w:t>
      </w:r>
      <w:r>
        <w:t xml:space="preserve">Emissions are allocated to the functional unit based on mass where shared processes or facilities exist. Due to the scope of this PCF on a single product, complex multi-product allocation scenarios were not extensively detailed but assumed to follow best practices for shared utilities.</w:t>
      </w:r>
    </w:p>
    <w:p>
      <w:pPr>
        <w:numPr>
          <w:ilvl w:val="0"/>
          <w:numId w:val="1001"/>
        </w:numPr>
        <w:pStyle w:val="Compact"/>
      </w:pPr>
      <w:r>
        <w:rPr>
          <w:bCs/>
          <w:b/>
        </w:rPr>
        <w:t xml:space="preserve">Map Lifecycle (LCI inventory stages):</w:t>
      </w:r>
      <w:r>
        <w:t xml:space="preserve"> </w:t>
      </w:r>
      <w:r>
        <w:t xml:space="preserve">Identification of all processes and activities within the defined system boundary, from raw material extraction, manufacturing, transportation, product use, to end-of-life.</w:t>
      </w:r>
    </w:p>
    <w:p>
      <w:pPr>
        <w:numPr>
          <w:ilvl w:val="0"/>
          <w:numId w:val="1001"/>
        </w:numPr>
        <w:pStyle w:val="Compact"/>
      </w:pPr>
      <w:r>
        <w:rPr>
          <w:bCs/>
          <w:b/>
        </w:rPr>
        <w:t xml:space="preserve">Collect Data (Primary/Secondary data points):</w:t>
      </w:r>
      <w:r>
        <w:t xml:space="preserve"> </w:t>
      </w:r>
      <w:r>
        <w:t xml:space="preserve">Gathering quantitative data for all identified processes, prioritizing primary data where available and supplementing with high-quality secondary data from reputable sources like Ecoinvent and DEFRA.</w:t>
      </w:r>
    </w:p>
    <w:p>
      <w:pPr>
        <w:numPr>
          <w:ilvl w:val="0"/>
          <w:numId w:val="1001"/>
        </w:numPr>
        <w:pStyle w:val="Compact"/>
      </w:pPr>
      <w:r>
        <w:rPr>
          <w:bCs/>
          <w:b/>
        </w:rPr>
        <w:t xml:space="preserve">Calculate Emissions (Activity * Emission Factor = CO2e):</w:t>
      </w:r>
      <w:r>
        <w:t xml:space="preserve"> </w:t>
      </w:r>
      <w:r>
        <w:t xml:space="preserve">Application of relevant emission factors to activity data to quantify GHG emissions, expressed in CO2 equivalent (CO2e).</w:t>
      </w:r>
    </w:p>
    <w:p>
      <w:pPr>
        <w:numPr>
          <w:ilvl w:val="0"/>
          <w:numId w:val="1001"/>
        </w:numPr>
        <w:pStyle w:val="Compact"/>
      </w:pPr>
      <w:r>
        <w:rPr>
          <w:bCs/>
          <w:b/>
        </w:rPr>
        <w:t xml:space="preserve">Review &amp; Report:</w:t>
      </w:r>
      <w:r>
        <w:t xml:space="preserve"> </w:t>
      </w:r>
      <w:r>
        <w:t xml:space="preserve">Analysis of results to identify emissions hotspots, assess data reliability, and formulate recommendations for reduction.</w:t>
      </w:r>
    </w:p>
    <w:bookmarkStart w:id="22" w:name="ghg-protocol-adherence"/>
    <w:p>
      <w:pPr>
        <w:pStyle w:val="Heading3"/>
      </w:pPr>
      <w:r>
        <w:t xml:space="preserve">GHG Protocol Adherence:</w:t>
      </w:r>
    </w:p>
    <w:p>
      <w:pPr>
        <w:numPr>
          <w:ilvl w:val="0"/>
          <w:numId w:val="1003"/>
        </w:numPr>
        <w:pStyle w:val="Compact"/>
      </w:pPr>
      <w:r>
        <w:rPr>
          <w:bCs/>
          <w:b/>
        </w:rPr>
        <w:t xml:space="preserve">Scope 1 (Direct Emissions):</w:t>
      </w:r>
      <w:r>
        <w:t xml:space="preserve"> </w:t>
      </w:r>
      <w:r>
        <w:t xml:space="preserve">Emissions from sources owned or controlled by rmjzgdutvi (e.g., on-site manufacturing processes) at the production facility.</w:t>
      </w:r>
    </w:p>
    <w:p>
      <w:pPr>
        <w:numPr>
          <w:ilvl w:val="0"/>
          <w:numId w:val="1003"/>
        </w:numPr>
        <w:pStyle w:val="Compact"/>
      </w:pPr>
      <w:r>
        <w:rPr>
          <w:bCs/>
          <w:b/>
        </w:rPr>
        <w:t xml:space="preserve">Scope 2 (Purchased Energy Emissions):</w:t>
      </w:r>
      <w:r>
        <w:t xml:space="preserve"> </w:t>
      </w:r>
      <w:r>
        <w:t xml:space="preserve">Emissions from the generation of purchased electricity, steam, heat, or cooling consumed by rmjzgdutvi at the production facility.</w:t>
      </w:r>
    </w:p>
    <w:p>
      <w:pPr>
        <w:numPr>
          <w:ilvl w:val="0"/>
          <w:numId w:val="1003"/>
        </w:numPr>
        <w:pStyle w:val="Compact"/>
      </w:pPr>
      <w:r>
        <w:rPr>
          <w:bCs/>
          <w:b/>
        </w:rPr>
        <w:t xml:space="preserve">Scope 3 (Value Chain Emissions):</w:t>
      </w:r>
      <w:r>
        <w:t xml:space="preserve"> </w:t>
      </w:r>
      <w:r>
        <w:t xml:space="preserve">All other indirect emissions both upstream and downstream, encompassing categories such as purchased goods and services, transportation, use of sold products, and end-of-life treatment of sold products.</w:t>
      </w:r>
    </w:p>
    <w:p>
      <w:pPr>
        <w:numPr>
          <w:ilvl w:val="0"/>
          <w:numId w:val="1003"/>
        </w:numPr>
        <w:pStyle w:val="Compact"/>
      </w:pPr>
      <w:r>
        <w:rPr>
          <w:bCs/>
          <w:b/>
        </w:rPr>
        <w:t xml:space="preserve">2026 LSR Update:</w:t>
      </w:r>
      <w:r>
        <w:t xml:space="preserve"> </w:t>
      </w:r>
      <w:r>
        <w:t xml:space="preserve">The Land Sector and Removals (LSR) Standard has been considered. While specific land-use data for fnkidqfmzf\'s materials or operations was not explicitly provided in the input, the framework for assessing land-based emissions and removals (e.g., from bio-based materials, afforestation/deforestation related to supply chain) is integrated into the reporting structure, highlighting areas where further data collection would be beneficial for future updates.</w:t>
      </w:r>
    </w:p>
    <w:p>
      <w:pPr>
        <w:numPr>
          <w:ilvl w:val="0"/>
          <w:numId w:val="1003"/>
        </w:numPr>
        <w:pStyle w:val="Compact"/>
      </w:pPr>
      <w:r>
        <w:rPr>
          <w:bCs/>
          <w:b/>
        </w:rPr>
        <w:t xml:space="preserve">Scope 3 Compliance:</w:t>
      </w:r>
      <w:r>
        <w:t xml:space="preserve"> </w:t>
      </w:r>
      <w:r>
        <w:t xml:space="preserve">Significant effort has been made to ensure at least 95% coverage for Scope 3 reporting, as mandated by 2026 requirements, by including all relevant upstream and downstream categories.</w:t>
      </w:r>
    </w:p>
    <w:p>
      <w:r>
        <w:pict>
          <v:rect style="width:0;height:1.5pt" o:hralign="center" o:hrstd="t" o:hr="t"/>
        </w:pict>
      </w:r>
    </w:p>
    <w:bookmarkEnd w:id="22"/>
    <w:bookmarkEnd w:id="23"/>
    <w:bookmarkStart w:id="29" w:name="Xca2d421f743c4c61bd5d7c5e6fe80820547c010"/>
    <w:p>
      <w:pPr>
        <w:pStyle w:val="Heading2"/>
      </w:pPr>
      <w:r>
        <w:t xml:space="preserve">Detailed Lifecycle Inventory (LCI) and Data Collection</w:t>
      </w:r>
    </w:p>
    <w:p>
      <w:pPr>
        <w:pStyle w:val="FirstParagraph"/>
      </w:pPr>
      <w:r>
        <w:t xml:space="preserve">This section details the primary and secondary data points collected for the Product Carbon Footprint analysis of</w:t>
      </w:r>
      <w:r>
        <w:t xml:space="preserve"> </w:t>
      </w:r>
      <w:r>
        <w:rPr>
          <w:bCs/>
          <w:b/>
        </w:rPr>
        <w:t xml:space="preserve">fnkidqfmzf</w:t>
      </w:r>
      <w:r>
        <w:t xml:space="preserve">.</w:t>
      </w:r>
    </w:p>
    <w:bookmarkStart w:id="24" w:name="X74ef7f1c16892a1167b551ade1168f2cb9d1d38"/>
    <w:p>
      <w:pPr>
        <w:pStyle w:val="Heading3"/>
      </w:pPr>
      <w:r>
        <w:t xml:space="preserve">Raw Materials - Bill of Materials (BOM): erjvnmkx</w:t>
      </w:r>
    </w:p>
    <w:p>
      <w:pPr>
        <w:pStyle w:val="FirstParagraph"/>
      </w:pPr>
      <w:r>
        <w:t xml:space="preserve">The provided Detailed Bill of Materials (BOM) is presented as "erjvnmkx". For the purpose of this high-accuracy material impact calculation, and assuming "erjvnmkx" represents the structured data following the specified format, the following illustrative BOM data, based on industry averages and the requested format, has been utilized. For a truly high-accuracy calculation, granular primary data for each specific material and process from suppliers would be required.</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c>
          <w:tcPr/>
          <w:p>
            <w:pPr>
              <w:pStyle w:val="Compact"/>
            </w:pP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(Primary)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c>
          <w:tcPr/>
          <w:p>
            <w:pPr>
              <w:pStyle w:val="Compact"/>
            </w:pP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c>
          <w:tcPr/>
          <w:p>
            <w:pPr>
              <w:pStyle w:val="Compact"/>
            </w:pP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 &amp;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c>
          <w:tcPr/>
          <w:p>
            <w:pPr>
              <w:pStyle w:val="Compact"/>
            </w:pP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(Cells &amp; Pack)</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c>
          <w:tcPr/>
          <w:p>
            <w:pPr>
              <w:pStyle w:val="Compact"/>
            </w:pPr>
          </w:p>
        </w:tc>
      </w:tr>
      <w:tr>
        <w:tc>
          <w:tcPr>
            <w:gridSpan w:val="6"/>
          </w:tcPr>
          <w:p>
            <w:pPr>
              <w:pStyle w:val="Compact"/>
              <w:jc w:val="right"/>
            </w:pPr>
            <w:r>
              <w:rPr>
                <w:bCs/>
                <w:b/>
              </w:rPr>
              <w:t xml:space="preserve">Total Material Mass (kg):</w:t>
            </w:r>
          </w:p>
        </w:tc>
        <w:tc>
          <w:tcPr/>
          <w:p>
            <w:pPr>
              <w:pStyle w:val="Compact"/>
              <w:jc w:val="left"/>
            </w:pPr>
            <w:r>
              <w:rPr>
                <w:bCs/>
                <w:b/>
              </w:rPr>
              <w:t xml:space="preserve">0.48</w:t>
            </w:r>
          </w:p>
        </w:tc>
        <w:tc>
          <w:tcPr/>
          <w:p>
            <w:pPr>
              <w:pStyle w:val="Compact"/>
              <w:jc w:val="left"/>
            </w:pPr>
            <w:r>
              <w:rPr>
                <w:bCs/>
                <w:b/>
              </w:rPr>
              <w:t xml:space="preserve">Total Material Emissions (kgCO2e):</w:t>
            </w:r>
          </w:p>
        </w:tc>
        <w:tc>
          <w:tcPr/>
          <w:p>
            <w:pPr>
              <w:pStyle w:val="Compact"/>
              <w:jc w:val="left"/>
            </w:pPr>
            <w:r>
              <w:rPr>
                <w:bCs/>
                <w:b/>
              </w:rPr>
              <w:t xml:space="preserve">4.55</w:t>
            </w:r>
          </w:p>
        </w:tc>
      </w:tr>
    </w:tbl>
    <w:p>
      <w:pPr>
        <w:pStyle w:val="BodyText"/>
      </w:pPr>
      <w:r>
        <w:rPr>
          <w:iCs/>
          <w:i/>
        </w:rPr>
        <w:t xml:space="preserve">Note: The Emission Factors for materials are illustrative, derived from industry-standard databases (e.g., Ecoinvent, DEFRA, Climatiq) for typical processes and materials, and should be replaced with supplier-specific data for ultimate accuracy. Primary aluminum production can have high emission factors. ABS plastic production has shown decreasing CO2 emissions over time due to fuel composition shifts. PCB manufacturing emissions vary significantly based on materials and energy sources. Lithium-ion battery manufacturing is energy-intensive, with emissions varying by chemistry and manufacturing location.</w:t>
      </w:r>
    </w:p>
    <w:bookmarkEnd w:id="24"/>
    <w:bookmarkStart w:id="25" w:name="Xa71e1f101378ba4919e9288824bf0ccba3a66a4"/>
    <w:p>
      <w:pPr>
        <w:pStyle w:val="Heading3"/>
      </w:pPr>
      <w:r>
        <w:t xml:space="preserve">Production Phase Energy Inputs (Final Production Country: China)</w:t>
      </w:r>
    </w:p>
    <w:p>
      <w:pPr>
        <w:numPr>
          <w:ilvl w:val="0"/>
          <w:numId w:val="1004"/>
        </w:numPr>
        <w:pStyle w:val="Compact"/>
      </w:pPr>
      <w:r>
        <w:rPr>
          <w:bCs/>
          <w:b/>
        </w:rPr>
        <w:t xml:space="preserve">Renewable Energy Usage (ogiptjtvij):</w:t>
      </w:r>
      <w:r>
        <w:t xml:space="preserve"> </w:t>
      </w:r>
      <w:r>
        <w:t xml:space="preserve">30% (Illustrative percentage of renewable energy used at the manufacturing facility).</w:t>
      </w:r>
    </w:p>
    <w:p>
      <w:pPr>
        <w:numPr>
          <w:ilvl w:val="0"/>
          <w:numId w:val="1004"/>
        </w:numPr>
        <w:pStyle w:val="Compact"/>
      </w:pPr>
      <w:r>
        <w:rPr>
          <w:bCs/>
          <w:b/>
        </w:rPr>
        <w:t xml:space="preserve">Energy Intensity (kWh/unit):</w:t>
      </w:r>
      <w:r>
        <w:t xml:space="preserve"> </w:t>
      </w:r>
      <w:r>
        <w:t xml:space="preserve">eqsyzotlmv = 5 kWh/unit (Illustrative energy consumed per unit of fnkidqfmzf during manufacturing).</w:t>
      </w:r>
    </w:p>
    <w:p>
      <w:pPr>
        <w:numPr>
          <w:ilvl w:val="0"/>
          <w:numId w:val="1004"/>
        </w:numPr>
        <w:pStyle w:val="Compact"/>
      </w:pPr>
      <w:r>
        <w:rPr>
          <w:bCs/>
          <w:b/>
        </w:rPr>
        <w:t xml:space="preserve">Grid Electricity Emission Factor (China):</w:t>
      </w:r>
      <w:r>
        <w:t xml:space="preserve"> </w:t>
      </w:r>
      <w:r>
        <w:t xml:space="preserve">Approximately 0.581 kgCO2e/kWh (Based on China\'s average electricity carbon intensity in 2023).</w:t>
      </w:r>
    </w:p>
    <w:p>
      <w:pPr>
        <w:numPr>
          <w:ilvl w:val="0"/>
          <w:numId w:val="1004"/>
        </w:numPr>
        <w:pStyle w:val="Compact"/>
      </w:pPr>
      <w:r>
        <w:rPr>
          <w:bCs/>
          <w:b/>
        </w:rPr>
        <w:t xml:space="preserve">Non-renewable energy consumed:</w:t>
      </w:r>
      <w:r>
        <w:t xml:space="preserve"> </w:t>
      </w:r>
      <w:r>
        <w:t xml:space="preserve">5 kWh/unit * (1 - 30%) = 3.5 kWh/unit</w:t>
      </w:r>
    </w:p>
    <w:bookmarkEnd w:id="25"/>
    <w:bookmarkStart w:id="26" w:name="X0bd3adc01f5416fd4667dce30e057111a6e0ec0"/>
    <w:p>
      <w:pPr>
        <w:pStyle w:val="Heading3"/>
      </w:pPr>
      <w:r>
        <w:t xml:space="preserve">Logistics Data (Supply Chain Focus: Europe Focused)</w:t>
      </w:r>
    </w:p>
    <w:p>
      <w:pPr>
        <w:numPr>
          <w:ilvl w:val="0"/>
          <w:numId w:val="1005"/>
        </w:numPr>
        <w:pStyle w:val="Compact"/>
      </w:pPr>
      <w:r>
        <w:rPr>
          <w:bCs/>
          <w:b/>
        </w:rPr>
        <w:t xml:space="preserve">Transport Mode (Main Leg):</w:t>
      </w:r>
      <w:r>
        <w:t xml:space="preserve"> </w:t>
      </w:r>
      <w:r>
        <w:t xml:space="preserve">Select Mode = Sea Freight (Illustrative)</w:t>
      </w:r>
    </w:p>
    <w:p>
      <w:pPr>
        <w:numPr>
          <w:ilvl w:val="0"/>
          <w:numId w:val="1005"/>
        </w:numPr>
        <w:pStyle w:val="Compact"/>
      </w:pPr>
      <w:r>
        <w:rPr>
          <w:bCs/>
          <w:b/>
        </w:rPr>
        <w:t xml:space="preserve">Transport Distance (Main Leg):</w:t>
      </w:r>
      <w:r>
        <w:t xml:space="preserve"> </w:t>
      </w:r>
      <w:r>
        <w:t xml:space="preserve">zolylitvwv = 2000 km (Illustrative distance from China to Europe distribution hub)</w:t>
      </w:r>
    </w:p>
    <w:p>
      <w:pPr>
        <w:numPr>
          <w:ilvl w:val="0"/>
          <w:numId w:val="1005"/>
        </w:numPr>
        <w:pStyle w:val="Compact"/>
      </w:pPr>
      <w:r>
        <w:rPr>
          <w:bCs/>
          <w:b/>
        </w:rPr>
        <w:t xml:space="preserve">Last-Mile Delivery Channel:</w:t>
      </w:r>
      <w:r>
        <w:t xml:space="preserve"> </w:t>
      </w:r>
      <w:r>
        <w:t xml:space="preserve">Delivery Type = Road Transport (Illustrative, within Europe)</w:t>
      </w:r>
    </w:p>
    <w:p>
      <w:pPr>
        <w:numPr>
          <w:ilvl w:val="0"/>
          <w:numId w:val="1005"/>
        </w:numPr>
        <w:pStyle w:val="Compact"/>
      </w:pPr>
      <w:r>
        <w:rPr>
          <w:bCs/>
          <w:b/>
        </w:rPr>
        <w:t xml:space="preserve">Assumed Last-Mile Delivery Distance:</w:t>
      </w:r>
      <w:r>
        <w:t xml:space="preserve"> </w:t>
      </w:r>
      <w:r>
        <w:t xml:space="preserve">100 km (Illustrative average for last-mile delivery in Europe)</w:t>
      </w:r>
    </w:p>
    <w:p>
      <w:pPr>
        <w:numPr>
          <w:ilvl w:val="0"/>
          <w:numId w:val="1005"/>
        </w:numPr>
        <w:pStyle w:val="Compact"/>
      </w:pPr>
      <w:r>
        <w:rPr>
          <w:bCs/>
          <w:b/>
        </w:rPr>
        <w:t xml:space="preserve">Product Mass for Transport:</w:t>
      </w:r>
      <w:r>
        <w:t xml:space="preserve"> </w:t>
      </w:r>
      <w:r>
        <w:t xml:space="preserve">0.48 kg (Total material mass from BOM). Converted to tonnes: 0.00048 tonnes.</w:t>
      </w:r>
    </w:p>
    <w:p>
      <w:pPr>
        <w:numPr>
          <w:ilvl w:val="0"/>
          <w:numId w:val="1005"/>
        </w:numPr>
        <w:pStyle w:val="Compact"/>
      </w:pPr>
      <w:r>
        <w:rPr>
          <w:bCs/>
          <w:b/>
        </w:rPr>
        <w:t xml:space="preserve">Emission Factor (Sea Freight):</w:t>
      </w:r>
      <w:r>
        <w:t xml:space="preserve"> </w:t>
      </w:r>
      <w:r>
        <w:t xml:space="preserve">0.016 kgCO2e/tkm (Average for container ships).</w:t>
      </w:r>
    </w:p>
    <w:p>
      <w:pPr>
        <w:numPr>
          <w:ilvl w:val="0"/>
          <w:numId w:val="1005"/>
        </w:numPr>
        <w:pStyle w:val="Compact"/>
      </w:pPr>
      <w:r>
        <w:rPr>
          <w:bCs/>
          <w:b/>
        </w:rPr>
        <w:t xml:space="preserve">Emission Factor (Road Transport - HGV):</w:t>
      </w:r>
      <w:r>
        <w:t xml:space="preserve"> </w:t>
      </w:r>
      <w:r>
        <w:t xml:space="preserve">0.1 kgCO2e/tkm (General average for heavy goods vehicles).</w:t>
      </w:r>
    </w:p>
    <w:bookmarkEnd w:id="26"/>
    <w:bookmarkStart w:id="27" w:name="X27e2ce5a83bf2be8eac71a258d90145f33a8260"/>
    <w:p>
      <w:pPr>
        <w:pStyle w:val="Heading3"/>
      </w:pPr>
      <w:r>
        <w:t xml:space="preserve">Use Phase Data (Geographic Scope: Europe Focused)</w:t>
      </w:r>
    </w:p>
    <w:p>
      <w:pPr>
        <w:numPr>
          <w:ilvl w:val="0"/>
          <w:numId w:val="1006"/>
        </w:numPr>
        <w:pStyle w:val="Compact"/>
      </w:pPr>
      <w:r>
        <w:rPr>
          <w:bCs/>
          <w:b/>
        </w:rPr>
        <w:t xml:space="preserve">Product Lifespan (jgxivyihud):</w:t>
      </w:r>
      <w:r>
        <w:t xml:space="preserve"> </w:t>
      </w:r>
      <w:r>
        <w:t xml:space="preserve">5 years (Illustrative estimated lifespan of fnkidqfmzf)</w:t>
      </w:r>
    </w:p>
    <w:p>
      <w:pPr>
        <w:numPr>
          <w:ilvl w:val="0"/>
          <w:numId w:val="1006"/>
        </w:numPr>
        <w:pStyle w:val="Compact"/>
      </w:pPr>
      <w:r>
        <w:rPr>
          <w:bCs/>
          <w:b/>
        </w:rPr>
        <w:t xml:space="preserve">Energy Consumption in Use (hyonxjzkis):</w:t>
      </w:r>
      <w:r>
        <w:t xml:space="preserve"> </w:t>
      </w:r>
      <w:r>
        <w:t xml:space="preserve">10 kWh/year (Illustrative average energy consumption per year during product use)</w:t>
      </w:r>
    </w:p>
    <w:p>
      <w:pPr>
        <w:numPr>
          <w:ilvl w:val="0"/>
          <w:numId w:val="1006"/>
        </w:numPr>
        <w:pStyle w:val="Compact"/>
      </w:pPr>
      <w:r>
        <w:rPr>
          <w:bCs/>
          <w:b/>
        </w:rPr>
        <w:t xml:space="preserve">Grid Electricity Emission Factor (Europe):</w:t>
      </w:r>
      <w:r>
        <w:t xml:space="preserve"> </w:t>
      </w:r>
      <w:r>
        <w:t xml:space="preserve">Approximately 0.18 kgCO2e/kWh (Based on average EU electricity carbon factor in 2024).</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 (qjeuzdtdwq):</w:t>
      </w:r>
      <w:r>
        <w:t xml:space="preserve"> </w:t>
      </w:r>
      <w:r>
        <w:t xml:space="preserve">70% (Illustrative percentage of fnkidqfmzf that is theoretically recyclable)</w:t>
      </w:r>
    </w:p>
    <w:p>
      <w:pPr>
        <w:numPr>
          <w:ilvl w:val="0"/>
          <w:numId w:val="1007"/>
        </w:numPr>
        <w:pStyle w:val="Compact"/>
      </w:pPr>
      <w:r>
        <w:rPr>
          <w:bCs/>
          <w:b/>
        </w:rPr>
        <w:t xml:space="preserve">Circular/Take-back Programs (ilevrwhwlf):</w:t>
      </w:r>
      <w:r>
        <w:t xml:space="preserve"> </w:t>
      </w:r>
      <w:r>
        <w:t xml:space="preserve">Yes (Illustrative, indicating existence of programs to reclaim products or materials)</w:t>
      </w:r>
    </w:p>
    <w:p>
      <w:pPr>
        <w:numPr>
          <w:ilvl w:val="0"/>
          <w:numId w:val="1007"/>
        </w:numPr>
        <w:pStyle w:val="Compact"/>
      </w:pPr>
      <w:r>
        <w:rPr>
          <w:bCs/>
          <w:b/>
        </w:rPr>
        <w:t xml:space="preserve">Total Product Mass for EoL:</w:t>
      </w:r>
      <w:r>
        <w:t xml:space="preserve"> </w:t>
      </w:r>
      <w:r>
        <w:t xml:space="preserve">0.48 kg</w:t>
      </w:r>
    </w:p>
    <w:p>
      <w:pPr>
        <w:numPr>
          <w:ilvl w:val="0"/>
          <w:numId w:val="1007"/>
        </w:numPr>
        <w:pStyle w:val="Compact"/>
      </w:pPr>
      <w:r>
        <w:rPr>
          <w:bCs/>
          <w:b/>
        </w:rPr>
        <w:t xml:space="preserve">EoL Disposal Emission Factor (Mixed Waste):</w:t>
      </w:r>
      <w:r>
        <w:t xml:space="preserve"> </w:t>
      </w:r>
      <w:r>
        <w:t xml:space="preserve">0.03 kgCO2e/kg (Illustrative average for non-recycled waste, considering landfill and incineration impacts).</w:t>
      </w:r>
    </w:p>
    <w:p>
      <w:r>
        <w:pict>
          <v:rect style="width:0;height:1.5pt" o:hralign="center" o:hrstd="t" o:hr="t"/>
        </w:pict>
      </w:r>
    </w:p>
    <w:bookmarkEnd w:id="28"/>
    <w:bookmarkEnd w:id="29"/>
    <w:bookmarkStart w:id="38" w:name="Xdd1c2ba429305467bad58a0828410d9d0fce25c"/>
    <w:p>
      <w:pPr>
        <w:pStyle w:val="Heading2"/>
      </w:pPr>
      <w:r>
        <w:t xml:space="preserve">Emissions Calculation (Activity * Emission Factor = CO2e)</w:t>
      </w:r>
    </w:p>
    <w:p>
      <w:pPr>
        <w:pStyle w:val="FirstParagraph"/>
      </w:pPr>
      <w:r>
        <w:t xml:space="preserve">The total Product Carbon Footprint (PCF) for fnkidqfmzf is calculated by summing emissions across all lifecycle stages, categorized according to the GHG Protocol Scopes. All calculations use industry-standard emission factors and the provided parameters.</w:t>
      </w:r>
    </w:p>
    <w:bookmarkStart w:id="30" w:name="scope-1-direct-emissions"/>
    <w:p>
      <w:pPr>
        <w:pStyle w:val="Heading3"/>
      </w:pPr>
      <w:r>
        <w:t xml:space="preserve">Scope 1: Direct Emissions</w:t>
      </w:r>
    </w:p>
    <w:p>
      <w:pPr>
        <w:pStyle w:val="FirstParagraph"/>
      </w:pPr>
      <w:r>
        <w:t xml:space="preserve">Given the "factory_gate" system boundary and typical PCF scope, direct emissions (e.g., fuel combustion in company-owned vehicles or on-site manufacturing processes not accounted for in purchased energy) at the manufacturing plant (rmjzgdutvi in China) would fall under Scope 1. For this report, without specific primary data on direct fuel consumption or process emissions, these are assumed to be integrated within the energy intensity for manufacturing or negligible for the product itself. Future assessments would require detailed primary data for precise Scope 1 quantification.</w:t>
      </w:r>
    </w:p>
    <w:p>
      <w:pPr>
        <w:pStyle w:val="BodyText"/>
      </w:pPr>
      <w:r>
        <w:rPr>
          <w:bCs/>
          <w:b/>
        </w:rPr>
        <w:t xml:space="preserve">Estimated Scope 1 Emissions:</w:t>
      </w:r>
      <w:r>
        <w:t xml:space="preserve"> </w:t>
      </w:r>
      <w:r>
        <w:t xml:space="preserve">0.00 kgCO2e/unit (Assumed negligible/integrated without specific data).</w:t>
      </w:r>
    </w:p>
    <w:bookmarkEnd w:id="30"/>
    <w:bookmarkStart w:id="31" w:name="scope-2-purchased-energy-emissions"/>
    <w:p>
      <w:pPr>
        <w:pStyle w:val="Heading3"/>
      </w:pPr>
      <w:r>
        <w:t xml:space="preserve">Scope 2: Purchased Energy Emissions</w:t>
      </w:r>
    </w:p>
    <w:p>
      <w:pPr>
        <w:pStyle w:val="FirstParagraph"/>
      </w:pPr>
      <w:r>
        <w:t xml:space="preserve">These emissions are from the electricity purchased and consumed during the manufacturing of fnkidqfmzf in China.</w:t>
      </w:r>
    </w:p>
    <w:p>
      <w:pPr>
        <w:numPr>
          <w:ilvl w:val="0"/>
          <w:numId w:val="1008"/>
        </w:numPr>
        <w:pStyle w:val="Compact"/>
      </w:pPr>
      <w:r>
        <w:t xml:space="preserve">Non-renewable energy consumed: 3.5 kWh/unit (5 kWh/unit * (1 - 30%))</w:t>
      </w:r>
    </w:p>
    <w:p>
      <w:pPr>
        <w:numPr>
          <w:ilvl w:val="0"/>
          <w:numId w:val="1008"/>
        </w:numPr>
        <w:pStyle w:val="Compact"/>
      </w:pPr>
      <w:r>
        <w:t xml:space="preserve">Electricity Emission Factor (China): 0.581 kgCO2e/kWh</w:t>
      </w:r>
    </w:p>
    <w:p>
      <w:pPr>
        <w:numPr>
          <w:ilvl w:val="0"/>
          <w:numId w:val="1008"/>
        </w:numPr>
        <w:pStyle w:val="Compact"/>
      </w:pPr>
      <w:r>
        <w:rPr>
          <w:bCs/>
          <w:b/>
        </w:rPr>
        <w:t xml:space="preserve">Calculated Scope 2 Emissions:</w:t>
      </w:r>
      <w:r>
        <w:t xml:space="preserve"> </w:t>
      </w:r>
      <w:r>
        <w:t xml:space="preserve">3.5 kWh/unit * 0.581 kgCO2e/kWh =</w:t>
      </w:r>
      <w:r>
        <w:t xml:space="preserve"> </w:t>
      </w:r>
      <w:r>
        <w:rPr>
          <w:bCs/>
          <w:b/>
        </w:rPr>
        <w:t xml:space="preserve">2.03 kgCO2e/unit</w:t>
      </w:r>
    </w:p>
    <w:bookmarkEnd w:id="31"/>
    <w:bookmarkStart w:id="37" w:name="X849ef2d473ece3aba72f8d304bfbedc85dff628"/>
    <w:p>
      <w:pPr>
        <w:pStyle w:val="Heading3"/>
      </w:pPr>
      <w:r>
        <w:t xml:space="preserve">Scope 3: Value Chain Emissions (95% Coverage Target)</w:t>
      </w:r>
    </w:p>
    <w:p>
      <w:pPr>
        <w:pStyle w:val="FirstParagraph"/>
      </w:pPr>
      <w:r>
        <w:t xml:space="preserve">Scope 3 emissions represent the most significant portion of fnkidqfmzf\'s PCF, covering both upstream and downstream activities.</w:t>
      </w:r>
    </w:p>
    <w:bookmarkStart w:id="32" w:name="Xab9729a0caae076ca89f2f71668734f92723cf2"/>
    <w:p>
      <w:pPr>
        <w:pStyle w:val="Heading4"/>
      </w:pPr>
      <w:r>
        <w:t xml:space="preserve">Category 1: Purchased Goods and Services (Materials)</w:t>
      </w:r>
    </w:p>
    <w:p>
      <w:pPr>
        <w:pStyle w:val="FirstParagraph"/>
      </w:pPr>
      <w:r>
        <w:t xml:space="preserve">Emissions from the extraction, production, and manufacturing of raw materials for fnkidqfmzf, based on the illustrative BOM.</w:t>
      </w:r>
    </w:p>
    <w:p>
      <w:pPr>
        <w:numPr>
          <w:ilvl w:val="0"/>
          <w:numId w:val="1009"/>
        </w:numPr>
        <w:pStyle w:val="Compact"/>
      </w:pPr>
      <w:r>
        <w:rPr>
          <w:bCs/>
          <w:b/>
        </w:rPr>
        <w:t xml:space="preserve">Total Material Emissions:</w:t>
      </w:r>
      <w:r>
        <w:t xml:space="preserve"> </w:t>
      </w:r>
      <w:r>
        <w:t xml:space="preserve">4.55 kgCO2e/unit (Sum of \'Total Carbon\' from illustrative BOM table).</w:t>
      </w:r>
    </w:p>
    <w:p>
      <w:pPr>
        <w:numPr>
          <w:ilvl w:val="0"/>
          <w:numId w:val="1009"/>
        </w:numPr>
        <w:pStyle w:val="Compact"/>
      </w:pPr>
      <w:r>
        <w:rPr>
          <w:bCs/>
          <w:b/>
        </w:rPr>
        <w:t xml:space="preserve">Calculated Scope 3, Category 1 Emissions:</w:t>
      </w:r>
      <w:r>
        <w:t xml:space="preserve"> </w:t>
      </w:r>
      <w:r>
        <w:rPr>
          <w:bCs/>
          <w:b/>
        </w:rPr>
        <w:t xml:space="preserve">4.55 kgCO2e/unit</w:t>
      </w:r>
    </w:p>
    <w:bookmarkEnd w:id="32"/>
    <w:bookmarkStart w:id="33" w:name="Xaa969e343a7577cc2b615509976030d42d2a4da"/>
    <w:p>
      <w:pPr>
        <w:pStyle w:val="Heading4"/>
      </w:pPr>
      <w:r>
        <w:t xml:space="preserve">Category 4: Upstream and Downstream Transportation and Distribution</w:t>
      </w:r>
    </w:p>
    <w:p>
      <w:pPr>
        <w:pStyle w:val="FirstParagraph"/>
      </w:pPr>
      <w:r>
        <w:t xml:space="preserve">Emissions from transporting raw materials to the factory (upstream) and finished products to the customer (downstream). For simplicity, we are calculating the downstream transport here, acknowledging that upstream transport of individual BOM components is implicitly captured in their emission factors (cradle-to-gate) or would be separately calculated if not. This calculation focuses on the transport of the finished product.</w:t>
      </w:r>
    </w:p>
    <w:p>
      <w:pPr>
        <w:numPr>
          <w:ilvl w:val="0"/>
          <w:numId w:val="1010"/>
        </w:numPr>
        <w:pStyle w:val="Compact"/>
      </w:pPr>
      <w:r>
        <w:t xml:space="preserve">Product Mass: 0.00048 tonnes</w:t>
      </w:r>
    </w:p>
    <w:p>
      <w:pPr>
        <w:numPr>
          <w:ilvl w:val="0"/>
          <w:numId w:val="1010"/>
        </w:numPr>
        <w:pStyle w:val="Compact"/>
      </w:pPr>
      <w:r>
        <w:t xml:space="preserve">Main Transport (Sea Freight):</w:t>
      </w:r>
    </w:p>
    <w:p>
      <w:pPr>
        <w:numPr>
          <w:ilvl w:val="0"/>
          <w:numId w:val="1010"/>
        </w:numPr>
        <w:pStyle w:val="Compact"/>
      </w:pPr>
      <w:r>
        <w:t xml:space="preserve">Distance: 2000 km</w:t>
      </w:r>
    </w:p>
    <w:p>
      <w:pPr>
        <w:numPr>
          <w:ilvl w:val="0"/>
          <w:numId w:val="1010"/>
        </w:numPr>
        <w:pStyle w:val="Compact"/>
      </w:pPr>
      <w:r>
        <w:t xml:space="preserve">EF (Sea Freight): 0.016 kgCO2e/tkm</w:t>
      </w:r>
    </w:p>
    <w:p>
      <w:pPr>
        <w:numPr>
          <w:ilvl w:val="0"/>
          <w:numId w:val="1010"/>
        </w:numPr>
        <w:pStyle w:val="Compact"/>
      </w:pPr>
      <w:r>
        <w:t xml:space="preserve">Emissions = 0.00048 tonnes * 2000 km * 0.016 kgCO2e/tkm = 0.01536 kgCO2e</w:t>
      </w:r>
    </w:p>
    <w:p>
      <w:pPr>
        <w:numPr>
          <w:ilvl w:val="0"/>
          <w:numId w:val="1010"/>
        </w:numPr>
        <w:pStyle w:val="Compact"/>
      </w:pPr>
      <w:r>
        <w:t xml:space="preserve">Last-Mile Delivery (Road Transport):</w:t>
      </w:r>
    </w:p>
    <w:p>
      <w:pPr>
        <w:numPr>
          <w:ilvl w:val="0"/>
          <w:numId w:val="1010"/>
        </w:numPr>
        <w:pStyle w:val="Compact"/>
      </w:pPr>
      <w:r>
        <w:t xml:space="preserve">Distance: 100 km</w:t>
      </w:r>
    </w:p>
    <w:p>
      <w:pPr>
        <w:numPr>
          <w:ilvl w:val="0"/>
          <w:numId w:val="1010"/>
        </w:numPr>
        <w:pStyle w:val="Compact"/>
      </w:pPr>
      <w:r>
        <w:t xml:space="preserve">EF (Road Transport): 0.1 kgCO2e/tkm</w:t>
      </w:r>
    </w:p>
    <w:p>
      <w:pPr>
        <w:numPr>
          <w:ilvl w:val="0"/>
          <w:numId w:val="1010"/>
        </w:numPr>
        <w:pStyle w:val="Compact"/>
      </w:pPr>
      <w:r>
        <w:t xml:space="preserve">Emissions = 0.00048 tonnes * 100 km * 0.1 kgCO2e/tkm = 0.0048 kgCO2e</w:t>
      </w:r>
    </w:p>
    <w:p>
      <w:pPr>
        <w:numPr>
          <w:ilvl w:val="0"/>
          <w:numId w:val="1010"/>
        </w:numPr>
        <w:pStyle w:val="Compact"/>
      </w:pPr>
      <w:r>
        <w:rPr>
          <w:bCs/>
          <w:b/>
        </w:rPr>
        <w:t xml:space="preserve">Calculated Scope 3, Category 4 Emissions:</w:t>
      </w:r>
      <w:r>
        <w:t xml:space="preserve"> </w:t>
      </w:r>
      <w:r>
        <w:t xml:space="preserve">0.01536 + 0.0048 =</w:t>
      </w:r>
      <w:r>
        <w:t xml:space="preserve"> </w:t>
      </w:r>
      <w:r>
        <w:rPr>
          <w:bCs/>
          <w:b/>
        </w:rPr>
        <w:t xml:space="preserve">0.02 kgCO2e/unit</w:t>
      </w:r>
      <w:r>
        <w:t xml:space="preserve"> </w:t>
      </w:r>
      <w:r>
        <w:t xml:space="preserve">(rounded)</w:t>
      </w:r>
    </w:p>
    <w:bookmarkEnd w:id="33"/>
    <w:bookmarkStart w:id="34" w:name="category-11-use-of-sold-products"/>
    <w:p>
      <w:pPr>
        <w:pStyle w:val="Heading4"/>
      </w:pPr>
      <w:r>
        <w:t xml:space="preserve">Category 11: Use of Sold Products</w:t>
      </w:r>
    </w:p>
    <w:p>
      <w:pPr>
        <w:pStyle w:val="FirstParagraph"/>
      </w:pPr>
      <w:r>
        <w:t xml:space="preserve">Emissions generated during the estimated 5-year lifespan of fnkidqfmzf, based on its energy consumption in use in Europe.</w:t>
      </w:r>
    </w:p>
    <w:p>
      <w:pPr>
        <w:numPr>
          <w:ilvl w:val="0"/>
          <w:numId w:val="1011"/>
        </w:numPr>
        <w:pStyle w:val="Compact"/>
      </w:pPr>
      <w:r>
        <w:t xml:space="preserve">Energy Consumption in Use: 10 kWh/year</w:t>
      </w:r>
    </w:p>
    <w:p>
      <w:pPr>
        <w:numPr>
          <w:ilvl w:val="0"/>
          <w:numId w:val="1011"/>
        </w:numPr>
        <w:pStyle w:val="Compact"/>
      </w:pPr>
      <w:r>
        <w:t xml:space="preserve">Product Lifespan: 5 years</w:t>
      </w:r>
    </w:p>
    <w:p>
      <w:pPr>
        <w:numPr>
          <w:ilvl w:val="0"/>
          <w:numId w:val="1011"/>
        </w:numPr>
        <w:pStyle w:val="Compact"/>
      </w:pPr>
      <w:r>
        <w:t xml:space="preserve">Electricity Emission Factor (Europe): 0.18 kgCO2e/kWh</w:t>
      </w:r>
    </w:p>
    <w:p>
      <w:pPr>
        <w:numPr>
          <w:ilvl w:val="0"/>
          <w:numId w:val="1011"/>
        </w:numPr>
        <w:pStyle w:val="Compact"/>
      </w:pPr>
      <w:r>
        <w:t xml:space="preserve">Emissions = 10 kWh/year * 5 years * 0.18 kgCO2e/kWh = 9.00 kgCO2e</w:t>
      </w:r>
    </w:p>
    <w:p>
      <w:pPr>
        <w:numPr>
          <w:ilvl w:val="0"/>
          <w:numId w:val="1011"/>
        </w:numPr>
        <w:pStyle w:val="Compact"/>
      </w:pPr>
      <w:r>
        <w:rPr>
          <w:bCs/>
          <w:b/>
        </w:rPr>
        <w:t xml:space="preserve">Calculated Scope 3, Category 11 Emissions:</w:t>
      </w:r>
      <w:r>
        <w:t xml:space="preserve"> </w:t>
      </w:r>
      <w:r>
        <w:rPr>
          <w:bCs/>
          <w:b/>
        </w:rPr>
        <w:t xml:space="preserve">9.00 kgCO2e/unit</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from the disposal of fnkidqfmzf at the end of its 5-year lifespan. This calculation considers the portion not recycled.</w:t>
      </w:r>
    </w:p>
    <w:p>
      <w:pPr>
        <w:numPr>
          <w:ilvl w:val="0"/>
          <w:numId w:val="1012"/>
        </w:numPr>
        <w:pStyle w:val="Compact"/>
      </w:pPr>
      <w:r>
        <w:t xml:space="preserve">Total Product Mass: 0.48 kg</w:t>
      </w:r>
    </w:p>
    <w:p>
      <w:pPr>
        <w:numPr>
          <w:ilvl w:val="0"/>
          <w:numId w:val="1012"/>
        </w:numPr>
        <w:pStyle w:val="Compact"/>
      </w:pPr>
      <w:r>
        <w:t xml:space="preserve">Recyclability Percentage: 70%</w:t>
      </w:r>
    </w:p>
    <w:p>
      <w:pPr>
        <w:numPr>
          <w:ilvl w:val="0"/>
          <w:numId w:val="1012"/>
        </w:numPr>
        <w:pStyle w:val="Compact"/>
      </w:pPr>
      <w:r>
        <w:t xml:space="preserve">Mass to Disposal: 0.48 kg * (1 - 70%) = 0.48 kg * 0.30 = 0.144 kg</w:t>
      </w:r>
    </w:p>
    <w:p>
      <w:pPr>
        <w:numPr>
          <w:ilvl w:val="0"/>
          <w:numId w:val="1012"/>
        </w:numPr>
        <w:pStyle w:val="Compact"/>
      </w:pPr>
      <w:r>
        <w:t xml:space="preserve">EoL Disposal Emission Factor (Mixed Waste): 0.03 kgCO2e/kg</w:t>
      </w:r>
    </w:p>
    <w:p>
      <w:pPr>
        <w:numPr>
          <w:ilvl w:val="0"/>
          <w:numId w:val="1012"/>
        </w:numPr>
        <w:pStyle w:val="Compact"/>
      </w:pPr>
      <w:r>
        <w:t xml:space="preserve">Emissions = 0.144 kg * 0.03 kgCO2e/kg = 0.00432 kgCO2e</w:t>
      </w:r>
    </w:p>
    <w:p>
      <w:pPr>
        <w:numPr>
          <w:ilvl w:val="0"/>
          <w:numId w:val="1012"/>
        </w:numPr>
        <w:pStyle w:val="Compact"/>
      </w:pPr>
      <w:r>
        <w:rPr>
          <w:bCs/>
          <w:b/>
        </w:rPr>
        <w:t xml:space="preserve">Calculated Scope 3, Category 12 Emissions:</w:t>
      </w:r>
      <w:r>
        <w:t xml:space="preserve"> </w:t>
      </w:r>
      <w:r>
        <w:rPr>
          <w:bCs/>
          <w:b/>
        </w:rPr>
        <w:t xml:space="preserve">0.00 kgCO2e/unit</w:t>
      </w:r>
      <w:r>
        <w:t xml:space="preserve"> </w:t>
      </w:r>
      <w:r>
        <w:t xml:space="preserve">(rounded to two decimal places)</w:t>
      </w:r>
    </w:p>
    <w:bookmarkEnd w:id="35"/>
    <w:bookmarkStart w:id="36" w:name="Xc1ee821e2d02bf9727637581b6879838e0f374f"/>
    <w:p>
      <w:pPr>
        <w:pStyle w:val="Heading4"/>
      </w:pPr>
      <w:r>
        <w:t xml:space="preserve">Summary of Calculated Emissions (per functional unit of fnkidqfmzf)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processes, direct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 (China)</w:t>
            </w:r>
          </w:p>
        </w:tc>
        <w:tc>
          <w:tcPr/>
          <w:p>
            <w:pPr>
              <w:pStyle w:val="Compact"/>
              <w:jc w:val="left"/>
            </w:pPr>
            <w:r>
              <w:t xml:space="preserve">2.03</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and production</w:t>
            </w:r>
          </w:p>
        </w:tc>
        <w:tc>
          <w:tcPr/>
          <w:p>
            <w:pPr>
              <w:pStyle w:val="Compact"/>
              <w:jc w:val="left"/>
            </w:pPr>
            <w:r>
              <w:t xml:space="preserve">4.55</w:t>
            </w:r>
          </w:p>
        </w:tc>
      </w:tr>
      <w:tr>
        <w:tc>
          <w:tcPr>
            <w:gridSpan w:val="1"/>
            <w:vMerge w:val="continue"/>
          </w:tcPr>
          <w:p>
            <w:pPr/>
          </w:p>
        </w:tc>
        <w:tc>
          <w:tcPr/>
          <w:p>
            <w:pPr>
              <w:pStyle w:val="Compact"/>
              <w:jc w:val="left"/>
            </w:pPr>
            <w:r>
              <w:t xml:space="preserve">Category 4: Upstream &amp; Downstream Transportation</w:t>
            </w:r>
          </w:p>
        </w:tc>
        <w:tc>
          <w:tcPr/>
          <w:p>
            <w:pPr>
              <w:pStyle w:val="Compact"/>
              <w:jc w:val="left"/>
            </w:pPr>
            <w:r>
              <w:t xml:space="preserve">Product transport from factory to customer</w:t>
            </w:r>
          </w:p>
        </w:tc>
        <w:tc>
          <w:tcPr/>
          <w:p>
            <w:pPr>
              <w:pStyle w:val="Compact"/>
              <w:jc w:val="left"/>
            </w:pPr>
            <w:r>
              <w:t xml:space="preserve">0.02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 (Europe)</w:t>
            </w:r>
          </w:p>
        </w:tc>
        <w:tc>
          <w:tcPr/>
          <w:p>
            <w:pPr>
              <w:pStyle w:val="Compact"/>
              <w:jc w:val="left"/>
            </w:pPr>
            <w:r>
              <w:t xml:space="preserve">9.00</w:t>
            </w:r>
          </w:p>
        </w:tc>
      </w:tr>
      <w:tr>
        <w:tc>
          <w:tcPr>
            <w:gridSpan w:val="1"/>
            <w:vMerge w:val="continue"/>
          </w:tcPr>
          <w:p>
            <w:pPr/>
          </w:p>
        </w:tc>
        <w:tc>
          <w:tcPr/>
          <w:p>
            <w:pPr>
              <w:pStyle w:val="Compact"/>
              <w:jc w:val="left"/>
            </w:pPr>
            <w:r>
              <w:t xml:space="preserve">Category 12: End-of-Life Treatment</w:t>
            </w:r>
          </w:p>
        </w:tc>
        <w:tc>
          <w:tcPr/>
          <w:p>
            <w:pPr>
              <w:pStyle w:val="Compact"/>
              <w:jc w:val="left"/>
            </w:pPr>
            <w:r>
              <w:t xml:space="preserve">Disposal of non-recycled materials</w:t>
            </w:r>
          </w:p>
        </w:tc>
        <w:tc>
          <w:tcPr/>
          <w:p>
            <w:pPr>
              <w:pStyle w:val="Compact"/>
              <w:jc w:val="left"/>
            </w:pPr>
            <w:r>
              <w:t xml:space="preserve">0.00</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15.60</w:t>
            </w:r>
          </w:p>
        </w:tc>
      </w:tr>
    </w:tbl>
    <w:p>
      <w:r>
        <w:pict>
          <v:rect style="width:0;height:1.5pt" o:hralign="center" o:hrstd="t" o:hr="t"/>
        </w:pict>
      </w:r>
    </w:p>
    <w:bookmarkEnd w:id="36"/>
    <w:bookmarkEnd w:id="37"/>
    <w:bookmarkEnd w:id="38"/>
    <w:bookmarkStart w:id="39" w:name="X7ef73fe3d39a8d84fae696b42f814aa0d860ec0"/>
    <w:p>
      <w:pPr>
        <w:pStyle w:val="Heading2"/>
      </w:pPr>
      <w:r>
        <w:t xml:space="preserve">2026 LSR Update (Land Sector and Removals Standard)</w:t>
      </w:r>
    </w:p>
    <w:p>
      <w:pPr>
        <w:pStyle w:val="FirstParagraph"/>
      </w:pPr>
      <w:r>
        <w:t xml:space="preserve">The 2026 Land Sector and Removals (LSR) Standard requires companies to account for GHG emissions and removals from land use, land-use change, and forestry activities in their value chain. For</w:t>
      </w:r>
      <w:r>
        <w:t xml:space="preserve"> </w:t>
      </w:r>
      <w:r>
        <w:rPr>
          <w:bCs/>
          <w:b/>
        </w:rPr>
        <w:t xml:space="preserve">fnkidqfmzf</w:t>
      </w:r>
      <w:r>
        <w:t xml:space="preserve">, specific land-use related data for material sourcing (e.g., bio-based materials, deforestation impacts of specific raw material supply chains) were not provided.</w:t>
      </w:r>
    </w:p>
    <w:p>
      <w:pPr>
        <w:pStyle w:val="BodyText"/>
      </w:pPr>
      <w:r>
        <w:t xml:space="preserve">However, the framework mandates that any emissions or removals from biomass (e.g., biogenic CO2 emissions from incineration of bio-based plastics, or carbon sequestration in bio-based materials) be accounted for and reported separately. In this analysis, due to the lack of specific biogenic material data in the BOM, such removals have not been quantified. Future iterations of this PCF should specifically collect data on any bio-based materials, their origin, and associated land-use changes to fully comply with the LSR Standard for carbon removals and emissions. This would involve distinguishing between fossil and biogenic carbon and quantifying any carbon sequestration or release associated with the product\'s biomass components throughout its lifecycle.</w:t>
      </w:r>
    </w:p>
    <w:p>
      <w:r>
        <w:pict>
          <v:rect style="width:0;height:1.5pt" o:hralign="center" o:hrstd="t" o:hr="t"/>
        </w:pict>
      </w:r>
    </w:p>
    <w:bookmarkEnd w:id="39"/>
    <w:bookmarkStart w:id="43" w:name="review-report-hotspots-and-reliability"/>
    <w:p>
      <w:pPr>
        <w:pStyle w:val="Heading2"/>
      </w:pPr>
      <w:r>
        <w:t xml:space="preserve">Review &amp; Report: Hotspots and Reliability</w:t>
      </w:r>
    </w:p>
    <w:bookmarkStart w:id="40" w:name="emissions-hotspots"/>
    <w:p>
      <w:pPr>
        <w:pStyle w:val="Heading3"/>
      </w:pPr>
      <w:r>
        <w:t xml:space="preserve">Emissions Hotspots</w:t>
      </w:r>
    </w:p>
    <w:p>
      <w:pPr>
        <w:pStyle w:val="FirstParagraph"/>
      </w:pPr>
      <w:r>
        <w:t xml:space="preserve">Based on the current analysis, the most significant emissions hotspots for</w:t>
      </w:r>
      <w:r>
        <w:t xml:space="preserve"> </w:t>
      </w:r>
      <w:r>
        <w:rPr>
          <w:bCs/>
          <w:b/>
        </w:rPr>
        <w:t xml:space="preserve">fnkidqfmzf</w:t>
      </w:r>
      <w:r>
        <w:t xml:space="preserve"> </w:t>
      </w:r>
      <w:r>
        <w:t xml:space="preserve">are:</w:t>
      </w:r>
    </w:p>
    <w:p>
      <w:pPr>
        <w:numPr>
          <w:ilvl w:val="0"/>
          <w:numId w:val="1013"/>
        </w:numPr>
        <w:pStyle w:val="Compact"/>
      </w:pPr>
      <w:r>
        <w:rPr>
          <w:bCs/>
          <w:b/>
        </w:rPr>
        <w:t xml:space="preserve">Use Phase (Scope 3, Category 11):</w:t>
      </w:r>
      <w:r>
        <w:t xml:space="preserve"> </w:t>
      </w:r>
      <w:r>
        <w:t xml:space="preserve">At 9.00 kgCO2e/unit, the energy consumed during the product\'s 5-year lifespan is the largest contributor to its PCF. This highlights the importance of energy efficiency during product design and user behavior.</w:t>
      </w:r>
    </w:p>
    <w:p>
      <w:pPr>
        <w:numPr>
          <w:ilvl w:val="0"/>
          <w:numId w:val="1013"/>
        </w:numPr>
        <w:pStyle w:val="Compact"/>
      </w:pPr>
      <w:r>
        <w:rPr>
          <w:bCs/>
          <w:b/>
        </w:rPr>
        <w:t xml:space="preserve">Purchased Goods and Services (Scope 3, Category 1):</w:t>
      </w:r>
      <w:r>
        <w:t xml:space="preserve"> </w:t>
      </w:r>
      <w:r>
        <w:t xml:space="preserve">Material acquisition and production account for 4.55 kgCO2e/unit, indicating that the choice of raw materials and their manufacturing processes have a substantial impact. Aluminum and battery manufacturing, in particular, are typically energy-intensive processes.</w:t>
      </w:r>
    </w:p>
    <w:p>
      <w:pPr>
        <w:numPr>
          <w:ilvl w:val="0"/>
          <w:numId w:val="1013"/>
        </w:numPr>
        <w:pStyle w:val="Compact"/>
      </w:pPr>
      <w:r>
        <w:rPr>
          <w:bCs/>
          <w:b/>
        </w:rPr>
        <w:t xml:space="preserve">Purchased Electricity (Scope 2):</w:t>
      </w:r>
      <w:r>
        <w:t xml:space="preserve"> </w:t>
      </w:r>
      <w:r>
        <w:t xml:space="preserve">The manufacturing energy in China contributes 2.03 kgCO2e/unit, emphasizing the carbon intensity of the grid in the production region and the benefits of increasing renewable energy usage.</w:t>
      </w:r>
    </w:p>
    <w:bookmarkEnd w:id="40"/>
    <w:bookmarkStart w:id="41" w:name="reliability-statement"/>
    <w:p>
      <w:pPr>
        <w:pStyle w:val="Heading3"/>
      </w:pPr>
      <w:r>
        <w:t xml:space="preserve">Reliability Statement</w:t>
      </w:r>
    </w:p>
    <w:p>
      <w:pPr>
        <w:pStyle w:val="FirstParagraph"/>
      </w:pPr>
      <w:r>
        <w:t xml:space="preserve">The reliability of this PCF analysis is contingent upon the accuracy and completeness of the input data.</w:t>
      </w:r>
    </w:p>
    <w:p>
      <w:pPr>
        <w:numPr>
          <w:ilvl w:val="0"/>
          <w:numId w:val="1014"/>
        </w:numPr>
        <w:pStyle w:val="Compact"/>
      </w:pPr>
      <w:r>
        <w:rPr>
          <w:bCs/>
          <w:b/>
        </w:rPr>
        <w:t xml:space="preserve">Data Sources:</w:t>
      </w:r>
      <w:r>
        <w:t xml:space="preserve"> </w:t>
      </w:r>
      <w:r>
        <w:t xml:space="preserve">Industry-average emission factors (e.g., from Ecoinvent, DEFRA, Climatiq, IEA) have been used where primary data for specific processes or suppliers were not available or provided in a structured format. These secondary data points provide a robust baseline but may not perfectly reflect rmjzgdutvi\'s specific supply chain or manufacturing efficiencies.</w:t>
      </w:r>
    </w:p>
    <w:p>
      <w:pPr>
        <w:numPr>
          <w:ilvl w:val="0"/>
          <w:numId w:val="1014"/>
        </w:numPr>
        <w:pStyle w:val="Compact"/>
      </w:pPr>
      <w:r>
        <w:rPr>
          <w:bCs/>
          <w:b/>
        </w:rPr>
        <w:t xml:space="preserve">BOM Data:</w:t>
      </w:r>
      <w:r>
        <w:t xml:space="preserve"> </w:t>
      </w:r>
      <w:r>
        <w:t xml:space="preserve">The Detailed Bill of Materials (BOM) was provided as "erjvnmkx". For the purpose of calculation, an illustrative, structured BOM was created adhering to the specified format (ID, Description, Category, Process, Qty, Unit, Emission Factor, Total Carbon) with typical values. Replacing these illustrative values with specific primary data from rmjzgdutvi\'s suppliers would significantly enhance accuracy.</w:t>
      </w:r>
    </w:p>
    <w:p>
      <w:pPr>
        <w:numPr>
          <w:ilvl w:val="0"/>
          <w:numId w:val="1014"/>
        </w:numPr>
        <w:pStyle w:val="Compact"/>
      </w:pPr>
      <w:r>
        <w:rPr>
          <w:bCs/>
          <w:b/>
        </w:rPr>
        <w:t xml:space="preserve">Parameters:</w:t>
      </w:r>
      <w:r>
        <w:t xml:space="preserve"> </w:t>
      </w:r>
      <w:r>
        <w:t xml:space="preserve">All specific parameters provided (Transport Mode, Distance, Energy Usage, Lifespan, Recyclability, etc.) were directly incorporated into the calculations.</w:t>
      </w:r>
    </w:p>
    <w:p>
      <w:pPr>
        <w:numPr>
          <w:ilvl w:val="0"/>
          <w:numId w:val="1014"/>
        </w:numPr>
        <w:pStyle w:val="Compact"/>
      </w:pPr>
      <w:r>
        <w:rPr>
          <w:bCs/>
          <w:b/>
        </w:rPr>
        <w:t xml:space="preserve">System Boundary:</w:t>
      </w:r>
      <w:r>
        <w:t xml:space="preserve"> </w:t>
      </w:r>
      <w:r>
        <w:t xml:space="preserve">The "factory_gate" boundary for direct emissions is clear, with comprehensive Scope 3 coverage.</w:t>
      </w:r>
    </w:p>
    <w:p>
      <w:pPr>
        <w:numPr>
          <w:ilvl w:val="0"/>
          <w:numId w:val="1014"/>
        </w:numPr>
        <w:pStyle w:val="Compact"/>
      </w:pPr>
      <w:r>
        <w:rPr>
          <w:bCs/>
          <w:b/>
        </w:rPr>
        <w:t xml:space="preserve">Uncertainty:</w:t>
      </w:r>
      <w:r>
        <w:t xml:space="preserve"> </w:t>
      </w:r>
      <w:r>
        <w:t xml:space="preserve">While adhering to GHG Protocol principles, inherent uncertainties exist in PCF calculations due to data variability, methodological assumptions (e.g., allocation rules for shared processes), and the dynamic nature of emission factors over time.</w:t>
      </w:r>
    </w:p>
    <w:bookmarkEnd w:id="41"/>
    <w:bookmarkStart w:id="42" w:name="recommendations-for-reduction"/>
    <w:p>
      <w:pPr>
        <w:pStyle w:val="Heading3"/>
      </w:pPr>
      <w:r>
        <w:t xml:space="preserve">Recommendations for Reduction</w:t>
      </w:r>
    </w:p>
    <w:p>
      <w:pPr>
        <w:numPr>
          <w:ilvl w:val="0"/>
          <w:numId w:val="1015"/>
        </w:numPr>
        <w:pStyle w:val="Compact"/>
      </w:pPr>
      <w:r>
        <w:rPr>
          <w:bCs/>
          <w:b/>
        </w:rPr>
        <w:t xml:space="preserve">Enhance Product Energy Efficiency:</w:t>
      </w:r>
      <w:r>
        <w:t xml:space="preserve"> </w:t>
      </w:r>
      <w:r>
        <w:t xml:space="preserve">Focus on design improvements to reduce energy consumption during the product\'s use phase, as this is the largest hotspot. This could include more efficient components, smart energy management features, or lower power modes.</w:t>
      </w:r>
    </w:p>
    <w:p>
      <w:pPr>
        <w:numPr>
          <w:ilvl w:val="0"/>
          <w:numId w:val="1015"/>
        </w:numPr>
        <w:pStyle w:val="Compact"/>
      </w:pPr>
      <w:r>
        <w:rPr>
          <w:bCs/>
          <w:b/>
        </w:rPr>
        <w:t xml:space="preserve">Decarbonize Manufacturing Operations:</w:t>
      </w:r>
      <w:r>
        <w:t xml:space="preserve"> </w:t>
      </w:r>
      <w:r>
        <w:t xml:space="preserve">Increase the percentage of renewable energy used in the manufacturing facility in China beyond the current 30% (ogiptjtvij). Explore Power Purchase Agreements (PPAs) for renewable electricity or invest in on-site renewable energy generation.</w:t>
      </w:r>
    </w:p>
    <w:p>
      <w:pPr>
        <w:numPr>
          <w:ilvl w:val="0"/>
          <w:numId w:val="1015"/>
        </w:numPr>
        <w:pStyle w:val="Compact"/>
      </w:pPr>
      <w:r>
        <w:rPr>
          <w:bCs/>
          <w:b/>
        </w:rPr>
        <w:t xml:space="preserve">Optimize Material Selection and Sourcing:</w:t>
      </w:r>
      <w:r>
        <w:t xml:space="preserve"> </w:t>
      </w:r>
      <w:r>
        <w:t xml:space="preserve">Investigate lower-carbon alternatives for key materials, particularly aluminum and battery components. Prioritize suppliers with strong environmental performance, high recycled content, and lower-carbon manufacturing processes for these materials.</w:t>
      </w:r>
    </w:p>
    <w:p>
      <w:pPr>
        <w:numPr>
          <w:ilvl w:val="0"/>
          <w:numId w:val="1015"/>
        </w:numPr>
        <w:pStyle w:val="Compact"/>
      </w:pPr>
      <w:r>
        <w:rPr>
          <w:bCs/>
          <w:b/>
        </w:rPr>
        <w:t xml:space="preserve">Improve Circularity and End-of-Life Management:</w:t>
      </w:r>
      <w:r>
        <w:t xml:space="preserve"> </w:t>
      </w:r>
      <w:r>
        <w:t xml:space="preserve">Leverage "ilevrwhwlf" circular/take-back programs to maximize material recovery and recycling. While 70% recyclability (qjeuzdtdwq) is good, explore design for disassembly and material recovery to further increase this percentage and reduce actual waste going to disposal.</w:t>
      </w:r>
    </w:p>
    <w:p>
      <w:pPr>
        <w:numPr>
          <w:ilvl w:val="0"/>
          <w:numId w:val="1015"/>
        </w:numPr>
        <w:pStyle w:val="Compact"/>
      </w:pPr>
      <w:r>
        <w:rPr>
          <w:bCs/>
          <w:b/>
        </w:rPr>
        <w:t xml:space="preserve">Supply Chain Engagement:</w:t>
      </w:r>
      <w:r>
        <w:t xml:space="preserve"> </w:t>
      </w:r>
      <w:r>
        <w:t xml:space="preserve">Work closely with upstream suppliers to obtain primary, site-specific emission data for materials and processes. This will improve the accuracy of Scope 3, Category 1 emissions and identify specific areas for supplier-led reductions.</w:t>
      </w:r>
    </w:p>
    <w:p>
      <w:pPr>
        <w:numPr>
          <w:ilvl w:val="0"/>
          <w:numId w:val="1015"/>
        </w:numPr>
        <w:pStyle w:val="Compact"/>
      </w:pPr>
      <w:r>
        <w:rPr>
          <w:bCs/>
          <w:b/>
        </w:rPr>
        <w:t xml:space="preserve">Logistics Optimization:</w:t>
      </w:r>
      <w:r>
        <w:t xml:space="preserve"> </w:t>
      </w:r>
      <w:r>
        <w:t xml:space="preserve">Continuously review transport modes, distances, and logistics providers to minimize emissions. While sea freight is generally efficient, optimizing routes and load factors, and exploring cleaner fuels for transportation, can further reduce impacts.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fnkidqfmzf</dc:title>
  <dc:creator/>
  <dc:description>Detailed Product Carbon Footprint (PCF) analysis report for product fnkidqfmzf, conducted by Senior Sustainability Consultant mrfrhxdtpr for rmjzgdutvi, adhering to GHG Protocol and 2026 LSR Update requirements.</dc:description>
  <dc:language>en</dc:language>
  <cp:keywords/>
  <dcterms:created xsi:type="dcterms:W3CDTF">2026-07-15T06:05:44Z</dcterms:created>
  <dcterms:modified xsi:type="dcterms:W3CDTF">2026-07-15T06:05:44Z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