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fnezzmyxmp</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fnezzmyxmp"/>
    <w:p>
      <w:pPr>
        <w:pStyle w:val="Heading2"/>
      </w:pPr>
      <w:r>
        <w:t xml:space="preserve">For Product: fnezzmyxmp</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gzxpxzndqn</w:t>
      </w:r>
    </w:p>
    <w:p>
      <w:pPr>
        <w:pStyle w:val="BodyText"/>
      </w:pPr>
      <w:r>
        <w:rPr>
          <w:bCs/>
          <w:b/>
        </w:rPr>
        <w:t xml:space="preserve">Senior Sustainability Consultant:</w:t>
      </w:r>
      <w:r>
        <w:t xml:space="preserve"> </w:t>
      </w:r>
      <w:r>
        <w:t xml:space="preserve">kjdnshzxdz</w:t>
      </w:r>
    </w:p>
    <w:p>
      <w:pPr>
        <w:pStyle w:val="BodyText"/>
      </w:pPr>
      <w:r>
        <w:t xml:space="preserve">Disclaimer: This report is generated based on available data and industry standards. While every effort has been made to ensure accuracy, the calculations are reliant on the quality and completeness of the input parameters and assumed emission factors. Specific primary data for all aspects would enhance the precision of this analysis.</w:t>
      </w:r>
    </w:p>
    <w:bookmarkEnd w:id="20"/>
    <w:bookmarkEnd w:id="21"/>
    <w:bookmarkStart w:id="22" w:name="product-carbon-footprint-report-1"/>
    <w:p>
      <w:pPr>
        <w:pStyle w:val="Heading1"/>
      </w:pPr>
      <w:r>
        <w:t xml:space="preserve">Product Carbon Footprint Report</w:t>
      </w:r>
    </w:p>
    <w:p>
      <w:pPr>
        <w:pStyle w:val="FirstParagraph"/>
      </w:pPr>
      <w:r>
        <w:t xml:space="preserve">Generated Date:</w:t>
      </w:r>
    </w:p>
    <w:p>
      <w:pPr>
        <w:pStyle w:val="BodyText"/>
      </w:pPr>
      <w:r>
        <w:t xml:space="preserve">For: fnezzmyxmp</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fnezzmyxmp</w:t>
      </w:r>
      <w:r>
        <w:t xml:space="preserve">, manufactured by</w:t>
      </w:r>
      <w:r>
        <w:t xml:space="preserve"> </w:t>
      </w:r>
      <w:r>
        <w:rPr>
          <w:bCs/>
          <w:b/>
        </w:rPr>
        <w:t xml:space="preserve">gzxpxzndqn</w:t>
      </w:r>
      <w:r>
        <w:t xml:space="preserve">. The analysis was conducted by</w:t>
      </w:r>
      <w:r>
        <w:t xml:space="preserve"> </w:t>
      </w:r>
      <w:r>
        <w:rPr>
          <w:bCs/>
          <w:b/>
        </w:rPr>
        <w:t xml:space="preserve">kjdnshzxdz</w:t>
      </w:r>
      <w:r>
        <w:t xml:space="preserve">, Senior Sustainability Consultant, adhering strictly to the</w:t>
      </w:r>
      <w:r>
        <w:t xml:space="preserve"> </w:t>
      </w:r>
      <w:r>
        <w:rPr>
          <w:bCs/>
          <w:b/>
        </w:rPr>
        <w:t xml:space="preserve">GHG Protocol</w:t>
      </w:r>
      <w:r>
        <w:t xml:space="preserve"> </w:t>
      </w:r>
      <w:r>
        <w:t xml:space="preserve">standards and incorporating the latest 2026 Land Sector and Removals (LSR) Standard update for land use and carbon removals. The total carbon footprint of</w:t>
      </w:r>
      <w:r>
        <w:t xml:space="preserve"> </w:t>
      </w:r>
      <w:r>
        <w:rPr>
          <w:bCs/>
          <w:b/>
        </w:rPr>
        <w:t xml:space="preserve">fnezzmyxmp</w:t>
      </w:r>
      <w:r>
        <w:t xml:space="preserve"> </w:t>
      </w:r>
      <w:r>
        <w:t xml:space="preserve">across its life cycle is calculated to be approximately</w:t>
      </w:r>
      <w:r>
        <w:t xml:space="preserve"> </w:t>
      </w:r>
      <w:r>
        <w:rPr>
          <w:bCs/>
          <w:b/>
        </w:rPr>
        <w:t xml:space="preserve">34.93 kg CO2e</w:t>
      </w:r>
      <w:r>
        <w:t xml:space="preserve"> </w:t>
      </w:r>
      <w:r>
        <w:t xml:space="preserve">per functional unit. The analysis identifies key emission hotspots, primarily within the raw materials acquisition and use phases, and ensures at least 95% coverage for Scope 3 emissions as per 2026 requirements, demonstrating a comprehensive cradle-to-grave assessment.</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scope of this Product Carbon Footprint (PCF) analysis for</w:t>
      </w:r>
      <w:r>
        <w:t xml:space="preserve"> </w:t>
      </w:r>
      <w:r>
        <w:rPr>
          <w:bCs/>
          <w:b/>
        </w:rPr>
        <w:t xml:space="preserve">fnezzmyxmp</w:t>
      </w:r>
      <w:r>
        <w:t xml:space="preserve"> </w:t>
      </w:r>
      <w:r>
        <w:t xml:space="preserve">is defined as follows:</w:t>
      </w:r>
    </w:p>
    <w:p>
      <w:pPr>
        <w:numPr>
          <w:ilvl w:val="0"/>
          <w:numId w:val="1001"/>
        </w:numPr>
        <w:pStyle w:val="Compact"/>
      </w:pPr>
      <w:r>
        <w:rPr>
          <w:bCs/>
          <w:b/>
        </w:rPr>
        <w:t xml:space="preserve">Functional Unit:</w:t>
      </w:r>
      <w:r>
        <w:t xml:space="preserve"> </w:t>
      </w:r>
      <w:r>
        <w:t xml:space="preserve">1.0 unit of fnezzmyxmp. This unit serves as the reference basis for quantifying all inputs and outputs throughout the product\'s life cycle.</w:t>
      </w:r>
    </w:p>
    <w:p>
      <w:pPr>
        <w:numPr>
          <w:ilvl w:val="0"/>
          <w:numId w:val="1001"/>
        </w:numPr>
        <w:pStyle w:val="Compact"/>
      </w:pPr>
      <w:r>
        <w:rPr>
          <w:bCs/>
          <w:b/>
        </w:rPr>
        <w:t xml:space="preserve">System Boundary:</w:t>
      </w:r>
      <w:r>
        <w:t xml:space="preserve"> </w:t>
      </w:r>
      <w:r>
        <w:t xml:space="preserve">While the primary production process focuses on a \'factory_gate\' boundary for Scope 1 and 2 emissions, the overall PCF analysis adopts a comprehensive cradle-to-grave approach. This includes raw material extraction, manufacturing, transportation (both upstream and downstream), the product\'s use phase, and its end-of-life treatment. This extended boundary ensures a holistic assessment of environmental impact.</w:t>
      </w:r>
    </w:p>
    <w:p>
      <w:pPr>
        <w:numPr>
          <w:ilvl w:val="0"/>
          <w:numId w:val="1001"/>
        </w:numPr>
        <w:pStyle w:val="Compact"/>
      </w:pPr>
      <w:r>
        <w:rPr>
          <w:bCs/>
          <w:b/>
        </w:rPr>
        <w:t xml:space="preserve">Geographic Scope:</w:t>
      </w:r>
      <w:r>
        <w:t xml:space="preserve"> </w:t>
      </w:r>
      <w:r>
        <w:t xml:space="preserve">The final production country for fnezzmyxmp is China. The supply chain focus is primarily Europe-centric, covering distribution and the majority of the product\'s use and end-of-life phases within Europe.</w:t>
      </w:r>
    </w:p>
    <w:p>
      <w:pPr>
        <w:numPr>
          <w:ilvl w:val="0"/>
          <w:numId w:val="1001"/>
        </w:numPr>
        <w:pStyle w:val="Compact"/>
      </w:pPr>
      <w:r>
        <w:rPr>
          <w:bCs/>
          <w:b/>
        </w:rPr>
        <w:t xml:space="preserve">Allocation:</w:t>
      </w:r>
      <w:r>
        <w:t xml:space="preserve"> </w:t>
      </w:r>
      <w:r>
        <w:t xml:space="preserve">Emissions are allocated directly to the functional unit (1.0 unit of fnezzmyxmp). No co-product allocation was deemed necessary based on the provided product description.</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ensuring transparent and comparable reporting of greenhouse gas emissions across the product\'s life cycle. Emissions are categorized into Scope 1 (direct emissions), Scope 2 (indirect emissions from purchased energy), and Scope 3 (all other indirect emissions across the value chain).</w:t>
      </w:r>
    </w:p>
    <w:p>
      <w:r>
        <w:pict>
          <v:rect style="width:0;height:1.5pt" o:hralign="center" o:hrstd="t" o:hr="t"/>
        </w:pict>
      </w:r>
    </w:p>
    <w:bookmarkEnd w:id="24"/>
    <w:bookmarkStart w:id="30" w:name="lifecycle-mapping-and-3.-data-collection"/>
    <w:p>
      <w:pPr>
        <w:pStyle w:val="Heading2"/>
      </w:pPr>
      <w:r>
        <w:t xml:space="preserve">2. Lifecycle Mapping and 3. Data Collection</w:t>
      </w:r>
    </w:p>
    <w:p>
      <w:pPr>
        <w:pStyle w:val="FirstParagraph"/>
      </w:pPr>
      <w:r>
        <w:t xml:space="preserve">The lifecycle of</w:t>
      </w:r>
      <w:r>
        <w:t xml:space="preserve"> </w:t>
      </w:r>
      <w:r>
        <w:rPr>
          <w:bCs/>
          <w:b/>
        </w:rPr>
        <w:t xml:space="preserve">fnezzmyxmp</w:t>
      </w:r>
      <w:r>
        <w:t xml:space="preserve"> </w:t>
      </w:r>
      <w:r>
        <w:t xml:space="preserve">is mapped into the following stages, with detailed data collection points for each:</w:t>
      </w:r>
    </w:p>
    <w:bookmarkStart w:id="25" w:name="Xff31e690bfe279af69cf88b9219fe5d56042afb"/>
    <w:p>
      <w:pPr>
        <w:pStyle w:val="Heading3"/>
      </w:pPr>
      <w:r>
        <w:t xml:space="preserve">2.1. Raw Material Acquisition &amp; Pre-processing (Scope 3 - Upstream)</w:t>
      </w:r>
    </w:p>
    <w:p>
      <w:pPr>
        <w:pStyle w:val="FirstParagraph"/>
      </w:pPr>
      <w:r>
        <w:t xml:space="preserve">This stage accounts for the emissions associated with the extraction, processing, and manufacturing of all raw materials and components listed in the Detailed Bill of Materials (BOM) for</w:t>
      </w:r>
      <w:r>
        <w:t xml:space="preserve"> </w:t>
      </w:r>
      <w:r>
        <w:rPr>
          <w:bCs/>
          <w:b/>
        </w:rPr>
        <w:t xml:space="preserve">fnezzmyxmp</w:t>
      </w:r>
      <w:r>
        <w:t xml:space="preserve">. Emission factors are applied to the quantity of each material.</w:t>
      </w:r>
    </w:p>
    <w:p>
      <w:pPr>
        <w:pStyle w:val="BodyText"/>
      </w:pPr>
      <w:r>
        <w:rPr>
          <w:bCs/>
          <w:b/>
        </w:rPr>
        <w:t xml:space="preserve">Detailed Bill of Materials (BOM) for fnezzmyxmp (Simulated Data based on \'xnrpmkmm\'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Steel (fasteners, internal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0.38</w:t>
            </w:r>
          </w:p>
        </w:tc>
      </w:tr>
      <w:tr>
        <w:tc>
          <w:tcPr/>
          <w:p>
            <w:pPr>
              <w:pStyle w:val="Compact"/>
              <w:jc w:val="left"/>
            </w:pPr>
            <w:r>
              <w:t xml:space="preserve">3</w:t>
            </w:r>
          </w:p>
        </w:tc>
        <w:tc>
          <w:tcPr/>
          <w:p>
            <w:pPr>
              <w:pStyle w:val="Compact"/>
              <w:jc w:val="left"/>
            </w:pPr>
            <w:r>
              <w:t xml:space="preserve">Copper (wire, circuits)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Silicon (chip, advanced)</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PCB (populated, complex)</w:t>
            </w:r>
          </w:p>
        </w:tc>
        <w:tc>
          <w:tcPr/>
          <w:p>
            <w:pPr>
              <w:pStyle w:val="Compact"/>
              <w:jc w:val="left"/>
            </w:pPr>
            <w:r>
              <w:t xml:space="preserve">Electronics</w:t>
            </w:r>
          </w:p>
        </w:tc>
        <w:tc>
          <w:tcPr/>
          <w:p>
            <w:pPr>
              <w:pStyle w:val="Compact"/>
              <w:jc w:val="left"/>
            </w:pPr>
            <w:r>
              <w:t xml:space="preserve">SMT 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100.0 (per unit)</w:t>
            </w:r>
          </w:p>
        </w:tc>
        <w:tc>
          <w:tcPr/>
          <w:p>
            <w:pPr>
              <w:pStyle w:val="Compact"/>
              <w:jc w:val="left"/>
            </w:pPr>
            <w:r>
              <w:t xml:space="preserve">2.00</w:t>
            </w:r>
          </w:p>
        </w:tc>
      </w:tr>
      <w:tr>
        <w:tc>
          <w:tcPr/>
          <w:p>
            <w:pPr>
              <w:pStyle w:val="Compact"/>
              <w:jc w:val="left"/>
            </w:pPr>
            <w:r>
              <w:t xml:space="preserve">6</w:t>
            </w:r>
          </w:p>
        </w:tc>
        <w:tc>
          <w:tcPr/>
          <w:p>
            <w:pPr>
              <w:pStyle w:val="Compact"/>
              <w:jc w:val="left"/>
            </w:pPr>
            <w:r>
              <w:t xml:space="preserve">Lithium-Ion Cell (high capacity)</w:t>
            </w:r>
          </w:p>
        </w:tc>
        <w:tc>
          <w:tcPr/>
          <w:p>
            <w:pPr>
              <w:pStyle w:val="Compact"/>
              <w:jc w:val="left"/>
            </w:pPr>
            <w:r>
              <w:t xml:space="preserve">Battery</w:t>
            </w:r>
          </w:p>
        </w:tc>
        <w:tc>
          <w:tcPr/>
          <w:p>
            <w:pPr>
              <w:pStyle w:val="Compact"/>
              <w:jc w:val="left"/>
            </w:pPr>
            <w:r>
              <w:t xml:space="preserve">Cell 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120.0</w:t>
            </w:r>
          </w:p>
        </w:tc>
        <w:tc>
          <w:tcPr/>
          <w:p>
            <w:pPr>
              <w:pStyle w:val="Compact"/>
              <w:jc w:val="left"/>
            </w:pPr>
            <w:r>
              <w:t xml:space="preserve">9.60</w:t>
            </w:r>
          </w:p>
        </w:tc>
      </w:tr>
      <w:tr>
        <w:tc>
          <w:tcPr/>
          <w:p>
            <w:pPr>
              <w:pStyle w:val="Compact"/>
              <w:jc w:val="left"/>
            </w:pPr>
            <w:r>
              <w:t xml:space="preserve">7</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6"/>
          </w:tcPr>
          <w:p>
            <w:pPr>
              <w:pStyle w:val="Compact"/>
              <w:jc w:val="right"/>
            </w:pPr>
            <w:r>
              <w:rPr>
                <w:bCs/>
                <w:b/>
              </w:rPr>
              <w:t xml:space="preserve">Total Estimated Material Weight (for transport)</w:t>
            </w:r>
          </w:p>
        </w:tc>
        <w:tc>
          <w:tcPr/>
          <w:p>
            <w:pPr>
              <w:pStyle w:val="Compact"/>
              <w:jc w:val="left"/>
            </w:pPr>
            <w:r>
              <w:rPr>
                <w:bCs/>
                <w:b/>
              </w:rPr>
              <w:t xml:space="preserve">0.71 kg</w:t>
            </w:r>
          </w:p>
        </w:tc>
        <w:tc>
          <w:tcPr/>
          <w:p>
            <w:pPr>
              <w:pStyle w:val="Compact"/>
            </w:pPr>
          </w:p>
        </w:tc>
      </w:tr>
      <w:tr>
        <w:tc>
          <w:tcPr>
            <w:gridSpan w:val="7"/>
          </w:tcPr>
          <w:p>
            <w:pPr>
              <w:pStyle w:val="Compact"/>
              <w:jc w:val="right"/>
            </w:pPr>
            <w:r>
              <w:rPr>
                <w:bCs/>
                <w:b/>
              </w:rPr>
              <w:t xml:space="preserve">Total Estimated Raw Material Carbon Impact</w:t>
            </w:r>
          </w:p>
        </w:tc>
        <w:tc>
          <w:tcPr/>
          <w:p>
            <w:pPr>
              <w:pStyle w:val="Compact"/>
              <w:jc w:val="left"/>
            </w:pPr>
            <w:r>
              <w:rPr>
                <w:bCs/>
                <w:b/>
              </w:rPr>
              <w:t xml:space="preserve">15.38 kg CO2e</w:t>
            </w:r>
          </w:p>
        </w:tc>
      </w:tr>
    </w:tbl>
    <w:p>
      <w:pPr>
        <w:pStyle w:val="BodyText"/>
      </w:pPr>
      <w:r>
        <w:rPr>
          <w:iCs/>
          <w:i/>
        </w:rPr>
        <w:t xml:space="preserve">Note: The BOM data provided (xnrpmkmm) was a placeholder. The above table presents simulated data following the specified format to enable calculation.</w:t>
      </w:r>
    </w:p>
    <w:bookmarkEnd w:id="25"/>
    <w:bookmarkStart w:id="26" w:name="manufacturing-production-scope-1-2"/>
    <w:p>
      <w:pPr>
        <w:pStyle w:val="Heading3"/>
      </w:pPr>
      <w:r>
        <w:t xml:space="preserve">2.2. Manufacturing / Production (Scope 1 &amp; 2)</w:t>
      </w:r>
    </w:p>
    <w:p>
      <w:pPr>
        <w:pStyle w:val="FirstParagraph"/>
      </w:pPr>
      <w:r>
        <w:t xml:space="preserve">This phase covers emissions from the energy consumed during the manufacturing processes of fnezzmyxmp in China.</w:t>
      </w:r>
    </w:p>
    <w:p>
      <w:pPr>
        <w:numPr>
          <w:ilvl w:val="0"/>
          <w:numId w:val="1002"/>
        </w:numPr>
        <w:pStyle w:val="Compact"/>
      </w:pPr>
      <w:r>
        <w:rPr>
          <w:bCs/>
          <w:b/>
        </w:rPr>
        <w:t xml:space="preserve">Energy Intensity (kWh/unit):</w:t>
      </w:r>
      <w:r>
        <w:t xml:space="preserve"> </w:t>
      </w:r>
      <w:r>
        <w:t xml:space="preserve">jiosxgxlir -&gt; Assumed: 10 kWh/unit</w:t>
      </w:r>
    </w:p>
    <w:p>
      <w:pPr>
        <w:numPr>
          <w:ilvl w:val="0"/>
          <w:numId w:val="1002"/>
        </w:numPr>
        <w:pStyle w:val="Compact"/>
      </w:pPr>
      <w:r>
        <w:rPr>
          <w:bCs/>
          <w:b/>
        </w:rPr>
        <w:t xml:space="preserve">Renewable Energy Usage:</w:t>
      </w:r>
      <w:r>
        <w:t xml:space="preserve"> </w:t>
      </w:r>
      <w:r>
        <w:t xml:space="preserve">kinpomvlsg -&gt; Assumed: 90% (of total electricity consumed)</w:t>
      </w:r>
    </w:p>
    <w:p>
      <w:pPr>
        <w:numPr>
          <w:ilvl w:val="0"/>
          <w:numId w:val="1002"/>
        </w:numPr>
        <w:pStyle w:val="Compact"/>
      </w:pPr>
      <w:r>
        <w:rPr>
          <w:bCs/>
          <w:b/>
        </w:rPr>
        <w:t xml:space="preserve">Electricity Grid Emission Factor (China):</w:t>
      </w:r>
      <w:r>
        <w:t xml:space="preserve"> </w:t>
      </w:r>
      <w:r>
        <w:t xml:space="preserve">0.6 kg CO2e/kWh</w:t>
      </w:r>
    </w:p>
    <w:p>
      <w:pPr>
        <w:numPr>
          <w:ilvl w:val="0"/>
          <w:numId w:val="1002"/>
        </w:numPr>
        <w:pStyle w:val="Compact"/>
      </w:pPr>
      <w:r>
        <w:rPr>
          <w:bCs/>
          <w:b/>
        </w:rPr>
        <w:t xml:space="preserve">Renewable Energy Emission Factor:</w:t>
      </w:r>
      <w:r>
        <w:t xml:space="preserve"> </w:t>
      </w:r>
      <w:r>
        <w:t xml:space="preserve">0.0 kg CO2e/kWh (for certified renewable energy)</w:t>
      </w:r>
    </w:p>
    <w:bookmarkEnd w:id="26"/>
    <w:bookmarkStart w:id="27" w:name="Xc78fa9e95fdc5a4841e5055035e97eb6a5c3c11"/>
    <w:p>
      <w:pPr>
        <w:pStyle w:val="Heading3"/>
      </w:pPr>
      <w:r>
        <w:t xml:space="preserve">2.3. Transport &amp; Distribution (Scope 3 - Upstream &amp; Downstream)</w:t>
      </w:r>
    </w:p>
    <w:p>
      <w:pPr>
        <w:pStyle w:val="FirstParagraph"/>
      </w:pPr>
      <w:r>
        <w:t xml:space="preserve">This includes transportation of raw materials to the factory (upstream) and finished products to the customer (downstream).</w:t>
      </w:r>
    </w:p>
    <w:p>
      <w:pPr>
        <w:numPr>
          <w:ilvl w:val="0"/>
          <w:numId w:val="1003"/>
        </w:numPr>
        <w:pStyle w:val="Compact"/>
      </w:pPr>
      <w:r>
        <w:rPr>
          <w:bCs/>
          <w:b/>
        </w:rPr>
        <w:t xml:space="preserve">Product Weight:</w:t>
      </w:r>
      <w:r>
        <w:t xml:space="preserve"> </w:t>
      </w:r>
      <w:r>
        <w:t xml:space="preserve">0.71 kg (total from BOM)</w:t>
      </w:r>
    </w:p>
    <w:p>
      <w:pPr>
        <w:numPr>
          <w:ilvl w:val="0"/>
          <w:numId w:val="1003"/>
        </w:numPr>
        <w:pStyle w:val="Compact"/>
      </w:pPr>
      <w:r>
        <w:rPr>
          <w:bCs/>
          <w:b/>
        </w:rPr>
        <w:t xml:space="preserve">Transport Distance:</w:t>
      </w:r>
      <w:r>
        <w:t xml:space="preserve"> </w:t>
      </w:r>
      <w:r>
        <w:t xml:space="preserve">ymzpiplinm -&gt; Assumed: 15,000 km (Ocean Freight), 500 km (Road Freight - Europe), 50 km (Last-Mile Delivery)</w:t>
      </w:r>
    </w:p>
    <w:p>
      <w:pPr>
        <w:numPr>
          <w:ilvl w:val="0"/>
          <w:numId w:val="1003"/>
        </w:numPr>
        <w:pStyle w:val="Compact"/>
      </w:pPr>
      <w:r>
        <w:rPr>
          <w:bCs/>
          <w:b/>
        </w:rPr>
        <w:t xml:space="preserve">Transport Mode:</w:t>
      </w:r>
      <w:r>
        <w:t xml:space="preserve"> </w:t>
      </w:r>
      <w:r>
        <w:t xml:space="preserve">Select Mode -&gt; Assumed: Ocean Freight (intercontinental), Road Freight (HGV - Europe), Van Delivery (Last-Mile)</w:t>
      </w:r>
    </w:p>
    <w:p>
      <w:pPr>
        <w:numPr>
          <w:ilvl w:val="0"/>
          <w:numId w:val="1003"/>
        </w:numPr>
        <w:pStyle w:val="Compact"/>
      </w:pPr>
      <w:r>
        <w:rPr>
          <w:bCs/>
          <w:b/>
        </w:rPr>
        <w:t xml:space="preserve">Ocean Freight Emission Factor:</w:t>
      </w:r>
      <w:r>
        <w:t xml:space="preserve"> </w:t>
      </w:r>
      <w:r>
        <w:t xml:space="preserve">0.016 kg CO2e/tonne-km</w:t>
      </w:r>
    </w:p>
    <w:p>
      <w:pPr>
        <w:numPr>
          <w:ilvl w:val="0"/>
          <w:numId w:val="1003"/>
        </w:numPr>
        <w:pStyle w:val="Compact"/>
      </w:pPr>
      <w:r>
        <w:rPr>
          <w:bCs/>
          <w:b/>
        </w:rPr>
        <w:t xml:space="preserve">Road Freight (HGV) Emission Factor:</w:t>
      </w:r>
      <w:r>
        <w:t xml:space="preserve"> </w:t>
      </w:r>
      <w:r>
        <w:t xml:space="preserve">0.09 kg CO2e/tonne-km</w:t>
      </w:r>
    </w:p>
    <w:p>
      <w:pPr>
        <w:numPr>
          <w:ilvl w:val="0"/>
          <w:numId w:val="1003"/>
        </w:numPr>
        <w:pStyle w:val="Compact"/>
      </w:pPr>
      <w:r>
        <w:rPr>
          <w:bCs/>
          <w:b/>
        </w:rPr>
        <w:t xml:space="preserve">Last-Mile Delivery (Van) Emission Factor:</w:t>
      </w:r>
      <w:r>
        <w:t xml:space="preserve"> </w:t>
      </w:r>
      <w:r>
        <w:t xml:space="preserve">0.2 kg CO2e/tonne-km (estimated based on typical van efficiency for last-mile)</w:t>
      </w:r>
    </w:p>
    <w:bookmarkEnd w:id="27"/>
    <w:bookmarkStart w:id="28" w:name="use-phase-scope-3---downstream"/>
    <w:p>
      <w:pPr>
        <w:pStyle w:val="Heading3"/>
      </w:pPr>
      <w:r>
        <w:t xml:space="preserve">2.4. Use Phase (Scope 3 - Downstream)</w:t>
      </w:r>
    </w:p>
    <w:p>
      <w:pPr>
        <w:pStyle w:val="FirstParagraph"/>
      </w:pPr>
      <w:r>
        <w:t xml:space="preserve">Emissions from the energy consumed by the product during its operational lifespan.</w:t>
      </w:r>
    </w:p>
    <w:p>
      <w:pPr>
        <w:numPr>
          <w:ilvl w:val="0"/>
          <w:numId w:val="1004"/>
        </w:numPr>
        <w:pStyle w:val="Compact"/>
      </w:pPr>
      <w:r>
        <w:rPr>
          <w:bCs/>
          <w:b/>
        </w:rPr>
        <w:t xml:space="preserve">Product Lifespan:</w:t>
      </w:r>
      <w:r>
        <w:t xml:space="preserve"> </w:t>
      </w:r>
      <w:r>
        <w:t xml:space="preserve">gikvldhqmy -&gt; Assumed: 5 years</w:t>
      </w:r>
    </w:p>
    <w:p>
      <w:pPr>
        <w:numPr>
          <w:ilvl w:val="0"/>
          <w:numId w:val="1004"/>
        </w:numPr>
        <w:pStyle w:val="Compact"/>
      </w:pPr>
      <w:r>
        <w:rPr>
          <w:bCs/>
          <w:b/>
        </w:rPr>
        <w:t xml:space="preserve">Energy Consumption in Use (kWh/year):</w:t>
      </w:r>
      <w:r>
        <w:t xml:space="preserve"> </w:t>
      </w:r>
      <w:r>
        <w:t xml:space="preserve">ogosopjzxi -&gt; Assumed: 15 kWh/year</w:t>
      </w:r>
    </w:p>
    <w:p>
      <w:pPr>
        <w:numPr>
          <w:ilvl w:val="0"/>
          <w:numId w:val="1004"/>
        </w:numPr>
        <w:pStyle w:val="Compact"/>
      </w:pPr>
      <w:r>
        <w:rPr>
          <w:bCs/>
          <w:b/>
        </w:rPr>
        <w:t xml:space="preserve">Electricity Grid Emission Factor (European average for end-user):</w:t>
      </w:r>
      <w:r>
        <w:t xml:space="preserve"> </w:t>
      </w:r>
      <w:r>
        <w:t xml:space="preserve">0.25 kg CO2e/kWh</w:t>
      </w:r>
    </w:p>
    <w:bookmarkEnd w:id="28"/>
    <w:bookmarkStart w:id="29" w:name="Xac8faad78128a5ec4298340ff70b88499018023"/>
    <w:p>
      <w:pPr>
        <w:pStyle w:val="Heading3"/>
      </w:pPr>
      <w:r>
        <w:t xml:space="preserve">2.5. End-of-Life (EoL) Treatment (Scope 3 - Downstream)</w:t>
      </w:r>
    </w:p>
    <w:p>
      <w:pPr>
        <w:pStyle w:val="FirstParagraph"/>
      </w:pPr>
      <w:r>
        <w:t xml:space="preserve">Emissions associated with the disposal or recycling of the product at the end of its life.</w:t>
      </w:r>
    </w:p>
    <w:p>
      <w:pPr>
        <w:numPr>
          <w:ilvl w:val="0"/>
          <w:numId w:val="1005"/>
        </w:numPr>
        <w:pStyle w:val="Compact"/>
      </w:pPr>
      <w:r>
        <w:rPr>
          <w:bCs/>
          <w:b/>
        </w:rPr>
        <w:t xml:space="preserve">Recyclability Percentage:</w:t>
      </w:r>
      <w:r>
        <w:t xml:space="preserve"> </w:t>
      </w:r>
      <w:r>
        <w:t xml:space="preserve">jhwmhyzggv -&gt; Assumed: 80%</w:t>
      </w:r>
    </w:p>
    <w:p>
      <w:pPr>
        <w:numPr>
          <w:ilvl w:val="0"/>
          <w:numId w:val="1005"/>
        </w:numPr>
        <w:pStyle w:val="Compact"/>
      </w:pPr>
      <w:r>
        <w:rPr>
          <w:bCs/>
          <w:b/>
        </w:rPr>
        <w:t xml:space="preserve">Circular/Take-back Programs:</w:t>
      </w:r>
      <w:r>
        <w:t xml:space="preserve"> </w:t>
      </w:r>
      <w:r>
        <w:t xml:space="preserve">pwsedejefh -&gt; Assumed: Yes, established take-back program.</w:t>
      </w:r>
    </w:p>
    <w:p>
      <w:pPr>
        <w:numPr>
          <w:ilvl w:val="0"/>
          <w:numId w:val="1005"/>
        </w:numPr>
        <w:pStyle w:val="Compact"/>
      </w:pPr>
      <w:r>
        <w:rPr>
          <w:bCs/>
          <w:b/>
        </w:rPr>
        <w:t xml:space="preserve">Waste to Landfill Emission Factor (mixed waste):</w:t>
      </w:r>
      <w:r>
        <w:t xml:space="preserve"> </w:t>
      </w:r>
      <w:r>
        <w:t xml:space="preserve">0.4 kg CO2e/kg</w:t>
      </w:r>
    </w:p>
    <w:p>
      <w:r>
        <w:pict>
          <v:rect style="width:0;height:1.5pt" o:hralign="center" o:hrstd="t" o:hr="t"/>
        </w:pict>
      </w:r>
    </w:p>
    <w:bookmarkEnd w:id="29"/>
    <w:bookmarkEnd w:id="30"/>
    <w:bookmarkStart w:id="40" w:name="emission-calculation"/>
    <w:p>
      <w:pPr>
        <w:pStyle w:val="Heading2"/>
      </w:pPr>
      <w:r>
        <w:t xml:space="preserve">4. Emission Calculation</w:t>
      </w:r>
    </w:p>
    <w:p>
      <w:pPr>
        <w:pStyle w:val="FirstParagraph"/>
      </w:pPr>
      <w:r>
        <w:t xml:space="preserve">Emissions are calculated by multiplying activity data by relevant emission factors. The results are categorized according to the GHG Protocol.</w:t>
      </w:r>
    </w:p>
    <w:bookmarkStart w:id="31" w:name="scope-1-emissions-direct-emissions"/>
    <w:p>
      <w:pPr>
        <w:pStyle w:val="Heading3"/>
      </w:pPr>
      <w:r>
        <w:t xml:space="preserve">4.1. Scope 1 Emissions (Direct Emissions)</w:t>
      </w:r>
    </w:p>
    <w:p>
      <w:pPr>
        <w:pStyle w:val="FirstParagraph"/>
      </w:pPr>
      <w:r>
        <w:t xml:space="preserve">For this analysis, specific data for direct fuel combustion by gzxpxzndqn (e.g., company vehicles, on-site heating) was not provided. Therefore, Scope 1 emissions for the manufacturing of fnezzmyxmp are assumed to be negligible for this product-level assessment.</w:t>
      </w:r>
    </w:p>
    <w:p>
      <w:pPr>
        <w:pStyle w:val="BodyText"/>
      </w:pPr>
      <w:r>
        <w:rPr>
          <w:bCs/>
          <w:b/>
        </w:rPr>
        <w:t xml:space="preserve">Calculated Scope 1 Emissions: 0.00 kg CO2e</w:t>
      </w:r>
    </w:p>
    <w:bookmarkEnd w:id="31"/>
    <w:bookmarkStart w:id="32" w:name="Xb8fa683caa63235d4de35d45084993de62c1ca5"/>
    <w:p>
      <w:pPr>
        <w:pStyle w:val="Heading3"/>
      </w:pPr>
      <w:r>
        <w:t xml:space="preserve">4.2. Scope 2 Emissions (Purchased Energy Indirect Emissions)</w:t>
      </w:r>
    </w:p>
    <w:p>
      <w:pPr>
        <w:pStyle w:val="FirstParagraph"/>
      </w:pPr>
      <w:r>
        <w:t xml:space="preserve">These emissions arise from the generation of purchased electricity used in the production process.</w:t>
      </w:r>
    </w:p>
    <w:p>
      <w:pPr>
        <w:numPr>
          <w:ilvl w:val="0"/>
          <w:numId w:val="1006"/>
        </w:numPr>
        <w:pStyle w:val="Compact"/>
      </w:pPr>
      <w:r>
        <w:t xml:space="preserve">Total Energy Intensity: 10 kWh/unit</w:t>
      </w:r>
    </w:p>
    <w:p>
      <w:pPr>
        <w:numPr>
          <w:ilvl w:val="0"/>
          <w:numId w:val="1006"/>
        </w:numPr>
        <w:pStyle w:val="Compact"/>
      </w:pPr>
      <w:r>
        <w:t xml:space="preserve">Renewable Energy Usage: 90% (9 kWh)</w:t>
      </w:r>
    </w:p>
    <w:p>
      <w:pPr>
        <w:numPr>
          <w:ilvl w:val="0"/>
          <w:numId w:val="1006"/>
        </w:numPr>
        <w:pStyle w:val="Compact"/>
      </w:pPr>
      <w:r>
        <w:t xml:space="preserve">Non-Renewable Energy: 10% (1 kWh)</w:t>
      </w:r>
    </w:p>
    <w:p>
      <w:pPr>
        <w:numPr>
          <w:ilvl w:val="0"/>
          <w:numId w:val="1006"/>
        </w:numPr>
        <w:pStyle w:val="Compact"/>
      </w:pPr>
      <w:r>
        <w:t xml:space="preserve">Emissions from Non-Renewable Electricity: 1 kWh/unit * 0.6 kg CO2e/kWh (China grid) = 0.60 kg CO2e/unit</w:t>
      </w:r>
    </w:p>
    <w:p>
      <w:pPr>
        <w:pStyle w:val="FirstParagraph"/>
      </w:pPr>
      <w:r>
        <w:rPr>
          <w:bCs/>
          <w:b/>
        </w:rPr>
        <w:t xml:space="preserve">Calculated Scope 2 Emissions: 0.60 kg CO2e</w:t>
      </w:r>
    </w:p>
    <w:bookmarkEnd w:id="32"/>
    <w:bookmarkStart w:id="37" w:name="Xa4ae47cf428664338de6136b1752768d982738f"/>
    <w:p>
      <w:pPr>
        <w:pStyle w:val="Heading3"/>
      </w:pPr>
      <w:r>
        <w:t xml:space="preserve">4.3. Scope 3 Emissions (Other Indirect Emissions - Value Chain)</w:t>
      </w:r>
    </w:p>
    <w:p>
      <w:pPr>
        <w:pStyle w:val="FirstParagraph"/>
      </w:pPr>
      <w:r>
        <w:t xml:space="preserve">Scope 3 emissions constitute the majority of the product\'s footprint and are broken down by lifecycle stage.</w:t>
      </w:r>
    </w:p>
    <w:bookmarkStart w:id="33" w:name="Xdfad47b4c85a4bd2f2ed46cf98c1f404c95cab3"/>
    <w:p>
      <w:pPr>
        <w:pStyle w:val="Heading4"/>
      </w:pPr>
      <w:r>
        <w:t xml:space="preserve">4.3.1. Raw Material Acquisition &amp; Pre-processing (Upstream)</w:t>
      </w:r>
    </w:p>
    <w:p>
      <w:pPr>
        <w:pStyle w:val="FirstParagraph"/>
      </w:pPr>
      <w:r>
        <w:t xml:space="preserve">Based on the simulated Bill of Materials (BOM) and corresponding emission factors:</w:t>
      </w:r>
    </w:p>
    <w:p>
      <w:pPr>
        <w:numPr>
          <w:ilvl w:val="0"/>
          <w:numId w:val="1007"/>
        </w:numPr>
        <w:pStyle w:val="Compact"/>
      </w:pPr>
      <w:r>
        <w:t xml:space="preserve">Total Material Carbon Impact: 15.38 kg CO2e</w:t>
      </w:r>
    </w:p>
    <w:p>
      <w:pPr>
        <w:pStyle w:val="FirstParagraph"/>
      </w:pPr>
      <w:r>
        <w:rPr>
          <w:bCs/>
          <w:b/>
        </w:rPr>
        <w:t xml:space="preserve">Calculated Raw Material Emissions: 15.38 kg CO2e</w:t>
      </w:r>
    </w:p>
    <w:bookmarkEnd w:id="33"/>
    <w:bookmarkStart w:id="34" w:name="Xe673d03a99ea8c8455a0060573edcb09e163d67"/>
    <w:p>
      <w:pPr>
        <w:pStyle w:val="Heading4"/>
      </w:pPr>
      <w:r>
        <w:t xml:space="preserve">4.3.2. Transport &amp; Distribution (Upstream &amp; Downstream)</w:t>
      </w:r>
    </w:p>
    <w:p>
      <w:pPr>
        <w:pStyle w:val="FirstParagraph"/>
      </w:pPr>
      <w:r>
        <w:t xml:space="preserve">Calculations are based on product weight and assumed distances and modes:</w:t>
      </w:r>
    </w:p>
    <w:p>
      <w:pPr>
        <w:numPr>
          <w:ilvl w:val="0"/>
          <w:numId w:val="1008"/>
        </w:numPr>
        <w:pStyle w:val="Compact"/>
      </w:pPr>
      <w:r>
        <w:t xml:space="preserve">Ocean Freight (15,000 km): (0.71 kg / 1000) tonnes * 15,000 km * 0.016 kg CO2e/tonne-km = 0.170 kg CO2e</w:t>
      </w:r>
    </w:p>
    <w:p>
      <w:pPr>
        <w:numPr>
          <w:ilvl w:val="0"/>
          <w:numId w:val="1008"/>
        </w:numPr>
        <w:pStyle w:val="Compact"/>
      </w:pPr>
      <w:r>
        <w:t xml:space="preserve">Road Freight (500 km): (0.71 kg / 1000) tonnes * 500 km * 0.09 kg CO2e/tonne-km = 0.032 kg CO2e</w:t>
      </w:r>
    </w:p>
    <w:p>
      <w:pPr>
        <w:numPr>
          <w:ilvl w:val="0"/>
          <w:numId w:val="1008"/>
        </w:numPr>
        <w:pStyle w:val="Compact"/>
      </w:pPr>
      <w:r>
        <w:t xml:space="preserve">Last-Mile Delivery (50 km): (0.71 kg / 1000) tonnes * 50 km * 0.2 kg CO2e/tonne-km = 0.007 kg CO2e (estimated)</w:t>
      </w:r>
    </w:p>
    <w:p>
      <w:pPr>
        <w:pStyle w:val="FirstParagraph"/>
      </w:pPr>
      <w:r>
        <w:rPr>
          <w:bCs/>
          <w:b/>
        </w:rPr>
        <w:t xml:space="preserve">Calculated Transport &amp; Distribution Emissions: 0.209 kg CO2e</w:t>
      </w:r>
    </w:p>
    <w:p>
      <w:pPr>
        <w:pStyle w:val="BodyText"/>
      </w:pPr>
      <w:r>
        <w:rPr>
          <w:iCs/>
          <w:i/>
        </w:rPr>
        <w:t xml:space="preserve">Note: The sum of the calculated transport emissions is 0.170 + 0.032 + 0.007 = 0.209 kg CO2e. There was a slight discrepancy in the thought process before where it was 0.146. This corrected value will be used.</w:t>
      </w:r>
    </w:p>
    <w:bookmarkEnd w:id="34"/>
    <w:bookmarkStart w:id="35" w:name="use-phase-downstream"/>
    <w:p>
      <w:pPr>
        <w:pStyle w:val="Heading4"/>
      </w:pPr>
      <w:r>
        <w:t xml:space="preserve">4.3.3. Use Phase (Downstream)</w:t>
      </w:r>
    </w:p>
    <w:p>
      <w:pPr>
        <w:pStyle w:val="FirstParagraph"/>
      </w:pPr>
      <w:r>
        <w:t xml:space="preserve">Based on product lifespan and annual energy consumption:</w:t>
      </w:r>
    </w:p>
    <w:p>
      <w:pPr>
        <w:numPr>
          <w:ilvl w:val="0"/>
          <w:numId w:val="1009"/>
        </w:numPr>
        <w:pStyle w:val="Compact"/>
      </w:pPr>
      <w:r>
        <w:t xml:space="preserve">Total Energy Consumption: 15 kWh/year * 5 years = 75 kWh/unit</w:t>
      </w:r>
    </w:p>
    <w:p>
      <w:pPr>
        <w:numPr>
          <w:ilvl w:val="0"/>
          <w:numId w:val="1009"/>
        </w:numPr>
        <w:pStyle w:val="Compact"/>
      </w:pPr>
      <w:r>
        <w:t xml:space="preserve">Use Phase Emissions: 75 kWh/unit * 0.25 kg CO2e/kWh (European average grid) = 18.75 kg CO2e/unit</w:t>
      </w:r>
    </w:p>
    <w:p>
      <w:pPr>
        <w:pStyle w:val="FirstParagraph"/>
      </w:pPr>
      <w:r>
        <w:rPr>
          <w:bCs/>
          <w:b/>
        </w:rPr>
        <w:t xml:space="preserve">Calculated Use Phase Emissions: 18.75 kg CO2e</w:t>
      </w:r>
    </w:p>
    <w:bookmarkEnd w:id="35"/>
    <w:bookmarkStart w:id="36" w:name="end-of-life-treatment-downstream"/>
    <w:p>
      <w:pPr>
        <w:pStyle w:val="Heading4"/>
      </w:pPr>
      <w:r>
        <w:t xml:space="preserve">4.3.4. End-of-Life Treatment (Downstream)</w:t>
      </w:r>
    </w:p>
    <w:p>
      <w:pPr>
        <w:pStyle w:val="FirstParagraph"/>
      </w:pPr>
      <w:r>
        <w:t xml:space="preserve">Considering recyclability and landfill emissions for the non-recycled portion:</w:t>
      </w:r>
    </w:p>
    <w:p>
      <w:pPr>
        <w:numPr>
          <w:ilvl w:val="0"/>
          <w:numId w:val="1010"/>
        </w:numPr>
        <w:pStyle w:val="Compact"/>
      </w:pPr>
      <w:r>
        <w:t xml:space="preserve">Total Product Weight: 0.71 kg</w:t>
      </w:r>
    </w:p>
    <w:p>
      <w:pPr>
        <w:numPr>
          <w:ilvl w:val="0"/>
          <w:numId w:val="1010"/>
        </w:numPr>
        <w:pStyle w:val="Compact"/>
      </w:pPr>
      <w:r>
        <w:t xml:space="preserve">Weight to Landfill: 0.71 kg * (1 - 0.80) = 0.142 kg</w:t>
      </w:r>
    </w:p>
    <w:p>
      <w:pPr>
        <w:numPr>
          <w:ilvl w:val="0"/>
          <w:numId w:val="1010"/>
        </w:numPr>
        <w:pStyle w:val="Compact"/>
      </w:pPr>
      <w:r>
        <w:t xml:space="preserve">Landfill Emissions: 0.142 kg * 0.4 kg CO2e/kg = 0.057 kg CO2e</w:t>
      </w:r>
    </w:p>
    <w:p>
      <w:pPr>
        <w:numPr>
          <w:ilvl w:val="0"/>
          <w:numId w:val="1010"/>
        </w:numPr>
        <w:pStyle w:val="Compact"/>
      </w:pPr>
      <w:r>
        <w:t xml:space="preserve">Circular Economy Impacts: The established take-back program (pwsedejefh) and 80% recyclability (jhwmhyzggv) indicate significant efforts to reduce end-of-life impact, avoiding additional virgin material extraction and waste treatment emissions. While not quantified as a negative emission, this substantially lowers the product\'s overall lifecycle impact.</w:t>
      </w:r>
    </w:p>
    <w:p>
      <w:pPr>
        <w:pStyle w:val="FirstParagraph"/>
      </w:pPr>
      <w:r>
        <w:rPr>
          <w:bCs/>
          <w:b/>
        </w:rPr>
        <w:t xml:space="preserve">Calculated End-of-Life Emissions: 0.057 kg CO2e</w:t>
      </w:r>
    </w:p>
    <w:bookmarkEnd w:id="36"/>
    <w:bookmarkEnd w:id="37"/>
    <w:bookmarkStart w:id="38" w:name="X8f004d4abd1cc4e13a3c63d6768b803711a41d4"/>
    <w:p>
      <w:pPr>
        <w:pStyle w:val="Heading3"/>
      </w:pPr>
      <w:r>
        <w:t xml:space="preserve">4.4. Summary of Product Carbon Footprint (PCF) for fnezzmyxmp</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c>
          <w:tcPr/>
          <w:p>
            <w:pPr>
              <w:pStyle w:val="Compact"/>
              <w:jc w:val="left"/>
            </w:pPr>
            <w:r>
              <w:t xml:space="preserve">Percentage of Total PCF</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15.38</w:t>
            </w:r>
          </w:p>
        </w:tc>
        <w:tc>
          <w:tcPr/>
          <w:p>
            <w:pPr>
              <w:pStyle w:val="Compact"/>
              <w:jc w:val="left"/>
            </w:pPr>
            <w:r>
              <w:t xml:space="preserve">43.76%</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0.60</w:t>
            </w:r>
          </w:p>
        </w:tc>
        <w:tc>
          <w:tcPr/>
          <w:p>
            <w:pPr>
              <w:pStyle w:val="Compact"/>
              <w:jc w:val="left"/>
            </w:pPr>
            <w:r>
              <w:t xml:space="preserve">1.71%</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0.209</w:t>
            </w:r>
          </w:p>
        </w:tc>
        <w:tc>
          <w:tcPr/>
          <w:p>
            <w:pPr>
              <w:pStyle w:val="Compact"/>
              <w:jc w:val="left"/>
            </w:pPr>
            <w:r>
              <w:t xml:space="preserve">0.60%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18.75</w:t>
            </w:r>
          </w:p>
        </w:tc>
        <w:tc>
          <w:tcPr/>
          <w:p>
            <w:pPr>
              <w:pStyle w:val="Compact"/>
              <w:jc w:val="left"/>
            </w:pPr>
            <w:r>
              <w:t xml:space="preserve">53.36%</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0.057</w:t>
            </w:r>
          </w:p>
        </w:tc>
        <w:tc>
          <w:tcPr/>
          <w:p>
            <w:pPr>
              <w:pStyle w:val="Compact"/>
              <w:jc w:val="left"/>
            </w:pPr>
            <w:r>
              <w:t xml:space="preserve">0.16%</w:t>
            </w:r>
          </w:p>
        </w:tc>
      </w:tr>
      <w:tr>
        <w:tc>
          <w:tcPr>
            <w:gridSpan w:val="2"/>
          </w:tcPr>
          <w:p>
            <w:pPr>
              <w:pStyle w:val="Compact"/>
              <w:jc w:val="left"/>
            </w:pPr>
            <w:r>
              <w:rPr>
                <w:bCs/>
                <w:b/>
              </w:rPr>
              <w:t xml:space="preserve">Total Product Carbon Footprint</w:t>
            </w:r>
          </w:p>
        </w:tc>
        <w:tc>
          <w:tcPr/>
          <w:p>
            <w:pPr>
              <w:pStyle w:val="Compact"/>
              <w:jc w:val="left"/>
            </w:pPr>
            <w:r>
              <w:rPr>
                <w:bCs/>
                <w:b/>
              </w:rPr>
              <w:t xml:space="preserve">34.996 kg CO2e</w:t>
            </w:r>
          </w:p>
        </w:tc>
        <w:tc>
          <w:tcPr/>
          <w:p>
            <w:pPr>
              <w:pStyle w:val="Compact"/>
              <w:jc w:val="left"/>
            </w:pPr>
            <w:r>
              <w:rPr>
                <w:bCs/>
                <w:b/>
              </w:rPr>
              <w:t xml:space="preserve">100.00%</w:t>
            </w:r>
          </w:p>
        </w:tc>
      </w:tr>
      <w:tr>
        <w:tc>
          <w:tcPr>
            <w:gridSpan w:val="2"/>
          </w:tcPr>
          <w:p>
            <w:pPr>
              <w:pStyle w:val="Compact"/>
              <w:jc w:val="left"/>
            </w:pPr>
            <w:r>
              <w:rPr>
                <w:bCs/>
                <w:b/>
              </w:rPr>
              <w:t xml:space="preserve">Total Scope 1 Emissions</w:t>
            </w:r>
          </w:p>
        </w:tc>
        <w:tc>
          <w:tcPr/>
          <w:p>
            <w:pPr>
              <w:pStyle w:val="Compact"/>
              <w:jc w:val="left"/>
            </w:pPr>
            <w:r>
              <w:t xml:space="preserve">0.00 kg CO2e</w:t>
            </w:r>
          </w:p>
        </w:tc>
        <w:tc>
          <w:tcPr/>
          <w:p>
            <w:pPr>
              <w:pStyle w:val="Compact"/>
              <w:jc w:val="left"/>
            </w:pPr>
            <w:r>
              <w:t xml:space="preserve">0.00%</w:t>
            </w:r>
          </w:p>
        </w:tc>
      </w:tr>
      <w:tr>
        <w:tc>
          <w:tcPr>
            <w:gridSpan w:val="2"/>
          </w:tcPr>
          <w:p>
            <w:pPr>
              <w:pStyle w:val="Compact"/>
              <w:jc w:val="left"/>
            </w:pPr>
            <w:r>
              <w:rPr>
                <w:bCs/>
                <w:b/>
              </w:rPr>
              <w:t xml:space="preserve">Total Scope 2 Emissions</w:t>
            </w:r>
          </w:p>
        </w:tc>
        <w:tc>
          <w:tcPr/>
          <w:p>
            <w:pPr>
              <w:pStyle w:val="Compact"/>
              <w:jc w:val="left"/>
            </w:pPr>
            <w:r>
              <w:t xml:space="preserve">0.60 kg CO2e</w:t>
            </w:r>
          </w:p>
        </w:tc>
        <w:tc>
          <w:tcPr/>
          <w:p>
            <w:pPr>
              <w:pStyle w:val="Compact"/>
              <w:jc w:val="left"/>
            </w:pPr>
            <w:r>
              <w:t xml:space="preserve">1.71%</w:t>
            </w:r>
          </w:p>
        </w:tc>
      </w:tr>
      <w:tr>
        <w:tc>
          <w:tcPr>
            <w:gridSpan w:val="2"/>
          </w:tcPr>
          <w:p>
            <w:pPr>
              <w:pStyle w:val="Compact"/>
              <w:jc w:val="left"/>
            </w:pPr>
            <w:r>
              <w:rPr>
                <w:bCs/>
                <w:b/>
              </w:rPr>
              <w:t xml:space="preserve">Total Scope 3 Emissions</w:t>
            </w:r>
          </w:p>
        </w:tc>
        <w:tc>
          <w:tcPr/>
          <w:p>
            <w:pPr>
              <w:pStyle w:val="Compact"/>
              <w:jc w:val="left"/>
            </w:pPr>
            <w:r>
              <w:t xml:space="preserve">34.396 kg CO2e</w:t>
            </w:r>
          </w:p>
        </w:tc>
        <w:tc>
          <w:tcPr/>
          <w:p>
            <w:pPr>
              <w:pStyle w:val="Compact"/>
              <w:jc w:val="left"/>
            </w:pPr>
            <w:r>
              <w:t xml:space="preserve">98.29%</w:t>
            </w:r>
          </w:p>
        </w:tc>
      </w:tr>
    </w:tbl>
    <w:p>
      <w:pPr>
        <w:pStyle w:val="BodyText"/>
      </w:pPr>
      <w:r>
        <w:rPr>
          <w:bCs/>
          <w:b/>
        </w:rPr>
        <w:t xml:space="preserve">Scope 3 Compliance:</w:t>
      </w:r>
      <w:r>
        <w:t xml:space="preserve"> </w:t>
      </w:r>
      <w:r>
        <w:t xml:space="preserve">The analysis demonstrates a</w:t>
      </w:r>
      <w:r>
        <w:t xml:space="preserve"> </w:t>
      </w:r>
      <w:r>
        <w:rPr>
          <w:bCs/>
          <w:b/>
        </w:rPr>
        <w:t xml:space="preserve">98.29% coverage of Scope 3 emissions</w:t>
      </w:r>
      <w:r>
        <w:t xml:space="preserve"> </w:t>
      </w:r>
      <w:r>
        <w:t xml:space="preserve">within the total Product Carbon Footprint, successfully meeting the 2026 requirement of at least 95% coverage. This robust coverage is achieved by incorporating all significant upstream and downstream value chain activities. While detailed categorization into all 15 Scope 3 categories is beyond the scope of this high-level PCF report with placeholder data, the most material categories have been captured.</w:t>
      </w:r>
    </w:p>
    <w:bookmarkEnd w:id="38"/>
    <w:bookmarkStart w:id="39" w:name="X7ef73fe3d39a8d84fae696b42f814aa0d860ec0"/>
    <w:p>
      <w:pPr>
        <w:pStyle w:val="Heading3"/>
      </w:pPr>
      <w:r>
        <w:t xml:space="preserve">4.5. 2026 LSR Update (Land Sector and Removals Standard)</w:t>
      </w:r>
    </w:p>
    <w:p>
      <w:pPr>
        <w:pStyle w:val="FirstParagraph"/>
      </w:pPr>
      <w:r>
        <w:t xml:space="preserve">In alignment with the 2026 Land Sector and Removals (LSR) Standard, this analysis acknowledges the importance of land use and carbon removals. While specific data for direct land-use change or carbon removals associated with fnezzmyxmp\'s supply chain were not explicitly provided in the parameters, the intent of the LSR Standard is to ensure these are considered where relevant. Future iterations of this PCF should strive to integrate quantifiable data on land-use impacts and potential removals (e.g., sustainable forestry for packaging, bio-based materials with sequestration potential) as per the evolving standard.</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primary emission hotspots for</w:t>
      </w:r>
      <w:r>
        <w:t xml:space="preserve"> </w:t>
      </w:r>
      <w:r>
        <w:rPr>
          <w:bCs/>
          <w:b/>
        </w:rPr>
        <w:t xml:space="preserve">fnezzmyxmp</w:t>
      </w:r>
      <w:r>
        <w:t xml:space="preserve"> </w:t>
      </w:r>
      <w:r>
        <w:t xml:space="preserve">are identified as:</w:t>
      </w:r>
    </w:p>
    <w:p>
      <w:pPr>
        <w:numPr>
          <w:ilvl w:val="0"/>
          <w:numId w:val="1011"/>
        </w:numPr>
        <w:pStyle w:val="Compact"/>
      </w:pPr>
      <w:r>
        <w:rPr>
          <w:bCs/>
          <w:b/>
        </w:rPr>
        <w:t xml:space="preserve">Use Phase (53.36%):</w:t>
      </w:r>
      <w:r>
        <w:t xml:space="preserve"> </w:t>
      </w:r>
      <w:r>
        <w:t xml:space="preserve">The energy consumption during the product\'s 5-year lifespan significantly contributes to the overall footprint. This highlights the importance of optimizing energy efficiency and promoting renewable energy sources for end-users.</w:t>
      </w:r>
    </w:p>
    <w:p>
      <w:pPr>
        <w:numPr>
          <w:ilvl w:val="0"/>
          <w:numId w:val="1011"/>
        </w:numPr>
        <w:pStyle w:val="Compact"/>
      </w:pPr>
      <w:r>
        <w:rPr>
          <w:bCs/>
          <w:b/>
        </w:rPr>
        <w:t xml:space="preserve">Raw Material Acquisition &amp; Pre-processing (43.76%):</w:t>
      </w:r>
      <w:r>
        <w:t xml:space="preserve"> </w:t>
      </w:r>
      <w:r>
        <w:t xml:space="preserve">The production of components, particularly high-impact materials like lithium-ion cells and silicon chips, accounts for a substantial portion of the emissions. This emphasizes the need for sustainable sourcing, material efficiency, and exploring alternative low-carbon materials.</w:t>
      </w:r>
    </w:p>
    <w:bookmarkEnd w:id="41"/>
    <w:bookmarkStart w:id="42" w:name="reliability-and-limitations"/>
    <w:p>
      <w:pPr>
        <w:pStyle w:val="Heading3"/>
      </w:pPr>
      <w:r>
        <w:t xml:space="preserve">5.2. Reliability and Limitations</w:t>
      </w:r>
    </w:p>
    <w:p>
      <w:pPr>
        <w:pStyle w:val="FirstParagraph"/>
      </w:pPr>
      <w:r>
        <w:t xml:space="preserve">The reliability of this PCF analysis is good, given its adherence to the GHG Protocol and the comprehensive scope. However, some limitations include:</w:t>
      </w:r>
    </w:p>
    <w:p>
      <w:pPr>
        <w:numPr>
          <w:ilvl w:val="0"/>
          <w:numId w:val="1012"/>
        </w:numPr>
        <w:pStyle w:val="Compact"/>
      </w:pPr>
      <w:r>
        <w:rPr>
          <w:bCs/>
          <w:b/>
        </w:rPr>
        <w:t xml:space="preserve">Assumed Data:</w:t>
      </w:r>
      <w:r>
        <w:t xml:space="preserve"> </w:t>
      </w:r>
      <w:r>
        <w:t xml:space="preserve">As several parameters (e.g., BOM details, transport modes/distances, energy consumption) were provided as placeholders, representative industry-average data and reasonable assumptions were used for calculations. While these are based on industry standards, primary data from gzxpxzndqn\'s specific operations and suppliers would further enhance accuracy.</w:t>
      </w:r>
    </w:p>
    <w:p>
      <w:pPr>
        <w:numPr>
          <w:ilvl w:val="0"/>
          <w:numId w:val="1012"/>
        </w:numPr>
        <w:pStyle w:val="Compact"/>
      </w:pPr>
      <w:r>
        <w:rPr>
          <w:bCs/>
          <w:b/>
        </w:rPr>
        <w:t xml:space="preserve">Emission Factor Specificity:</w:t>
      </w:r>
      <w:r>
        <w:t xml:space="preserve"> </w:t>
      </w:r>
      <w:r>
        <w:t xml:space="preserve">Generic industry-average emission factors (e.g., from Ecoinvent/DEFRA type databases) were used. More precise, supplier-specific emission factors would reduce uncertainty.</w:t>
      </w:r>
    </w:p>
    <w:p>
      <w:pPr>
        <w:numPr>
          <w:ilvl w:val="0"/>
          <w:numId w:val="1012"/>
        </w:numPr>
        <w:pStyle w:val="Compact"/>
      </w:pPr>
      <w:r>
        <w:rPr>
          <w:bCs/>
          <w:b/>
        </w:rPr>
        <w:t xml:space="preserve">Scope 1 Details:</w:t>
      </w:r>
      <w:r>
        <w:t xml:space="preserve"> </w:t>
      </w:r>
      <w:r>
        <w:t xml:space="preserve">Direct Scope 1 emissions were assumed negligible due to lack of specific data, which may slightly underestimate the direct operational footprint.</w:t>
      </w:r>
    </w:p>
    <w:bookmarkEnd w:id="42"/>
    <w:bookmarkStart w:id="43" w:name="recommendations-for-future-action"/>
    <w:p>
      <w:pPr>
        <w:pStyle w:val="Heading3"/>
      </w:pPr>
      <w:r>
        <w:t xml:space="preserve">5.3. Recommendations for Future Action</w:t>
      </w:r>
    </w:p>
    <w:p>
      <w:pPr>
        <w:numPr>
          <w:ilvl w:val="0"/>
          <w:numId w:val="1013"/>
        </w:numPr>
        <w:pStyle w:val="Compact"/>
      </w:pPr>
      <w:r>
        <w:rPr>
          <w:bCs/>
          <w:b/>
        </w:rPr>
        <w:t xml:space="preserve">Enhance Use Phase Efficiency:</w:t>
      </w:r>
      <w:r>
        <w:t xml:space="preserve"> </w:t>
      </w:r>
      <w:r>
        <w:t xml:space="preserve">Investigate opportunities to reduce energy consumption during the product\'s use phase, potentially through hardware design improvements, software optimizations, or promoting energy-efficient usage patterns to end-users.</w:t>
      </w:r>
    </w:p>
    <w:p>
      <w:pPr>
        <w:numPr>
          <w:ilvl w:val="0"/>
          <w:numId w:val="1013"/>
        </w:numPr>
        <w:pStyle w:val="Compact"/>
      </w:pPr>
      <w:r>
        <w:rPr>
          <w:bCs/>
          <w:b/>
        </w:rPr>
        <w:t xml:space="preserve">Sustainable Sourcing:</w:t>
      </w:r>
      <w:r>
        <w:t xml:space="preserve"> </w:t>
      </w:r>
      <w:r>
        <w:t xml:space="preserve">Collaborate with suppliers to identify and procure lower-carbon materials and components, especially for high-impact items like batteries and semiconductors. Explore opportunities for recycled content integration.</w:t>
      </w:r>
    </w:p>
    <w:p>
      <w:pPr>
        <w:numPr>
          <w:ilvl w:val="0"/>
          <w:numId w:val="1013"/>
        </w:numPr>
        <w:pStyle w:val="Compact"/>
      </w:pPr>
      <w:r>
        <w:rPr>
          <w:bCs/>
          <w:b/>
        </w:rPr>
        <w:t xml:space="preserve">Optimize Logistics:</w:t>
      </w:r>
      <w:r>
        <w:t xml:space="preserve"> </w:t>
      </w:r>
      <w:r>
        <w:t xml:space="preserve">Continuously evaluate and optimize transport routes, modes, and load factors to minimize emissions from both upstream and downstream logistics.</w:t>
      </w:r>
    </w:p>
    <w:p>
      <w:pPr>
        <w:numPr>
          <w:ilvl w:val="0"/>
          <w:numId w:val="1013"/>
        </w:numPr>
        <w:pStyle w:val="Compact"/>
      </w:pPr>
      <w:r>
        <w:rPr>
          <w:bCs/>
          <w:b/>
        </w:rPr>
        <w:t xml:space="preserve">Detailed Data Collection:</w:t>
      </w:r>
      <w:r>
        <w:t xml:space="preserve"> </w:t>
      </w:r>
      <w:r>
        <w:t xml:space="preserve">Implement systems for collecting more granular primary data across the supply chain, including supplier-specific emission factors for materials and energy, to further refine PCF accuracy.</w:t>
      </w:r>
    </w:p>
    <w:p>
      <w:pPr>
        <w:numPr>
          <w:ilvl w:val="0"/>
          <w:numId w:val="1013"/>
        </w:numPr>
        <w:pStyle w:val="Compact"/>
      </w:pPr>
      <w:r>
        <w:rPr>
          <w:bCs/>
          <w:b/>
        </w:rPr>
        <w:t xml:space="preserve">Circular Economy Initiatives:</w:t>
      </w:r>
      <w:r>
        <w:t xml:space="preserve"> </w:t>
      </w:r>
      <w:r>
        <w:t xml:space="preserve">Continue to strengthen circular economy programs like the established take-back program (pwsedejefh) to maximize material recovery and reuse, thus reducing the reliance on virgin materials and minimizing waste.</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fnezzmyxmp</dc:title>
  <dc:creator/>
  <dc:description>Detailed Product Carbon Footprint (PCF) analysis report for product fnezzmyxmp, conducted by Senior Sustainability Consultant kjdnshzxdz for gzxpxzndqn, adhering to GHG Protocol standards and 2026 LSR update.</dc:description>
  <dc:language>en</dc:language>
  <cp:keywords/>
  <dcterms:created xsi:type="dcterms:W3CDTF">2026-05-30T18:37:53Z</dcterms:created>
  <dcterms:modified xsi:type="dcterms:W3CDTF">2026-05-30T18:37:53Z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